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textAlignment w:val="auto"/>
        <w:rPr>
          <w:rFonts w:hint="default" w:ascii="Times New Roman" w:hAnsi="Times New Roman" w:eastAsia="宋体" w:cs="Times New Roman"/>
          <w:color w:val="000000"/>
          <w:kern w:val="0"/>
          <w:sz w:val="24"/>
          <w:highlight w:val="none"/>
          <w:lang w:val="en-US" w:eastAsia="zh-CN"/>
        </w:rPr>
      </w:pPr>
      <w:r>
        <w:rPr>
          <w:rFonts w:hint="default" w:ascii="Times New Roman" w:hAnsi="Times New Roman" w:cs="Times New Roman"/>
          <w:color w:val="000000"/>
          <w:kern w:val="0"/>
          <w:sz w:val="24"/>
          <w:highlight w:val="none"/>
        </w:rPr>
        <w:t xml:space="preserve">证券代码：000966        </w:t>
      </w:r>
      <w:r>
        <w:rPr>
          <w:rFonts w:hint="default" w:ascii="Times New Roman" w:hAnsi="Times New Roman" w:eastAsia="Times New Roman" w:cs="Times New Roman"/>
          <w:color w:val="000000"/>
          <w:kern w:val="0"/>
          <w:sz w:val="24"/>
          <w:highlight w:val="none"/>
        </w:rPr>
        <w:t xml:space="preserve"> </w:t>
      </w:r>
      <w:r>
        <w:rPr>
          <w:rFonts w:hint="default" w:ascii="Times New Roman" w:hAnsi="Times New Roman" w:cs="Times New Roman"/>
          <w:color w:val="000000"/>
          <w:kern w:val="0"/>
          <w:sz w:val="24"/>
          <w:highlight w:val="none"/>
        </w:rPr>
        <w:t xml:space="preserve">  </w:t>
      </w:r>
      <w:r>
        <w:rPr>
          <w:rFonts w:hint="default" w:ascii="Times New Roman" w:hAnsi="Times New Roman" w:cs="Times New Roman"/>
          <w:color w:val="000000"/>
          <w:kern w:val="0"/>
          <w:sz w:val="24"/>
          <w:highlight w:val="none"/>
          <w:lang w:val="en-US" w:eastAsia="zh-CN"/>
        </w:rPr>
        <w:t xml:space="preserve">               </w:t>
      </w:r>
      <w:r>
        <w:rPr>
          <w:rFonts w:hint="default" w:ascii="Times New Roman" w:hAnsi="Times New Roman" w:cs="Times New Roman"/>
          <w:color w:val="000000"/>
          <w:kern w:val="0"/>
          <w:sz w:val="24"/>
          <w:highlight w:val="none"/>
        </w:rPr>
        <w:t xml:space="preserve"> </w:t>
      </w:r>
      <w:r>
        <w:rPr>
          <w:rFonts w:hint="default" w:ascii="Times New Roman" w:hAnsi="Times New Roman" w:eastAsia="Times New Roman" w:cs="Times New Roman"/>
          <w:color w:val="000000"/>
          <w:kern w:val="0"/>
          <w:sz w:val="24"/>
          <w:highlight w:val="none"/>
        </w:rPr>
        <w:t xml:space="preserve"> </w:t>
      </w:r>
      <w:r>
        <w:rPr>
          <w:rFonts w:hint="default" w:ascii="Times New Roman" w:hAnsi="Times New Roman" w:cs="Times New Roman"/>
          <w:color w:val="000000"/>
          <w:kern w:val="0"/>
          <w:sz w:val="24"/>
          <w:highlight w:val="none"/>
        </w:rPr>
        <w:t xml:space="preserve">  证券简称：长源电力  </w:t>
      </w:r>
      <w:r>
        <w:rPr>
          <w:rFonts w:hint="default" w:ascii="Times New Roman" w:hAnsi="Times New Roman" w:eastAsia="Times New Roman" w:cs="Times New Roman"/>
          <w:color w:val="000000"/>
          <w:kern w:val="0"/>
          <w:sz w:val="24"/>
          <w:highlight w:val="none"/>
        </w:rPr>
        <w:t xml:space="preserve"> </w:t>
      </w:r>
      <w:r>
        <w:rPr>
          <w:rFonts w:hint="default" w:ascii="Times New Roman" w:hAnsi="Times New Roman" w:cs="Times New Roman"/>
          <w:color w:val="000000"/>
          <w:kern w:val="0"/>
          <w:sz w:val="24"/>
          <w:highlight w:val="none"/>
        </w:rPr>
        <w:t xml:space="preserve">    </w:t>
      </w:r>
      <w:r>
        <w:rPr>
          <w:rFonts w:hint="default" w:ascii="Times New Roman" w:hAnsi="Times New Roman" w:cs="Times New Roman"/>
          <w:color w:val="000000"/>
          <w:kern w:val="0"/>
          <w:sz w:val="24"/>
          <w:highlight w:val="none"/>
          <w:lang w:val="en-US" w:eastAsia="zh-CN"/>
        </w:rPr>
        <w:t xml:space="preserve">  </w:t>
      </w:r>
      <w:r>
        <w:rPr>
          <w:rFonts w:hint="default" w:ascii="Times New Roman" w:hAnsi="Times New Roman" w:cs="Times New Roman"/>
          <w:color w:val="000000"/>
          <w:kern w:val="0"/>
          <w:sz w:val="24"/>
          <w:highlight w:val="none"/>
        </w:rPr>
        <w:t xml:space="preserve">  </w:t>
      </w:r>
      <w:r>
        <w:rPr>
          <w:rFonts w:hint="default" w:ascii="Times New Roman" w:hAnsi="Times New Roman" w:cs="Times New Roman"/>
          <w:color w:val="000000"/>
          <w:kern w:val="0"/>
          <w:sz w:val="24"/>
          <w:highlight w:val="none"/>
          <w:lang w:val="en-US" w:eastAsia="zh-CN"/>
        </w:rPr>
        <w:t xml:space="preserve">      </w:t>
      </w:r>
      <w:r>
        <w:rPr>
          <w:rFonts w:hint="default" w:ascii="Times New Roman" w:hAnsi="Times New Roman" w:cs="Times New Roman"/>
          <w:color w:val="000000"/>
          <w:kern w:val="0"/>
          <w:sz w:val="24"/>
          <w:highlight w:val="none"/>
        </w:rPr>
        <w:t xml:space="preserve">   </w:t>
      </w:r>
      <w:r>
        <w:rPr>
          <w:rFonts w:hint="default" w:ascii="Times New Roman" w:hAnsi="Times New Roman" w:eastAsia="Times New Roman" w:cs="Times New Roman"/>
          <w:color w:val="000000"/>
          <w:kern w:val="0"/>
          <w:sz w:val="24"/>
          <w:highlight w:val="none"/>
        </w:rPr>
        <w:t xml:space="preserve">   </w:t>
      </w:r>
      <w:r>
        <w:rPr>
          <w:rFonts w:hint="default" w:ascii="Times New Roman" w:hAnsi="Times New Roman" w:cs="Times New Roman"/>
          <w:color w:val="000000"/>
          <w:kern w:val="0"/>
          <w:sz w:val="24"/>
          <w:highlight w:val="none"/>
        </w:rPr>
        <w:t xml:space="preserve"> </w:t>
      </w:r>
      <w:r>
        <w:rPr>
          <w:rFonts w:hint="default" w:ascii="Times New Roman" w:hAnsi="Times New Roman" w:cs="Times New Roman"/>
          <w:color w:val="000000"/>
          <w:kern w:val="0"/>
          <w:sz w:val="24"/>
          <w:highlight w:val="none"/>
          <w:lang w:val="en-US" w:eastAsia="zh-CN"/>
        </w:rPr>
        <w:t>公告</w:t>
      </w:r>
      <w:r>
        <w:rPr>
          <w:rFonts w:hint="default" w:ascii="Times New Roman" w:hAnsi="Times New Roman" w:cs="Times New Roman"/>
          <w:color w:val="000000"/>
          <w:kern w:val="0"/>
          <w:sz w:val="24"/>
          <w:highlight w:val="none"/>
        </w:rPr>
        <w:t>编号：</w:t>
      </w:r>
      <w:r>
        <w:rPr>
          <w:rFonts w:hint="default" w:ascii="Times New Roman" w:hAnsi="Times New Roman" w:cs="Times New Roman"/>
          <w:color w:val="auto"/>
          <w:kern w:val="0"/>
          <w:sz w:val="24"/>
          <w:highlight w:val="none"/>
        </w:rPr>
        <w:t>20</w:t>
      </w:r>
      <w:r>
        <w:rPr>
          <w:rFonts w:hint="default" w:ascii="Times New Roman" w:hAnsi="Times New Roman" w:eastAsia="Times New Roman" w:cs="Times New Roman"/>
          <w:color w:val="auto"/>
          <w:kern w:val="0"/>
          <w:sz w:val="24"/>
          <w:highlight w:val="none"/>
        </w:rPr>
        <w:t>2</w:t>
      </w:r>
      <w:r>
        <w:rPr>
          <w:rFonts w:hint="default" w:ascii="Times New Roman" w:hAnsi="Times New Roman" w:eastAsia="宋体" w:cs="Times New Roman"/>
          <w:color w:val="auto"/>
          <w:kern w:val="0"/>
          <w:sz w:val="24"/>
          <w:highlight w:val="none"/>
          <w:lang w:val="en-US" w:eastAsia="zh-CN"/>
        </w:rPr>
        <w:t>3</w:t>
      </w:r>
      <w:r>
        <w:rPr>
          <w:rFonts w:hint="default" w:ascii="Times New Roman" w:hAnsi="Times New Roman" w:eastAsia="Times New Roman" w:cs="Times New Roman"/>
          <w:color w:val="auto"/>
          <w:kern w:val="0"/>
          <w:sz w:val="24"/>
          <w:highlight w:val="none"/>
        </w:rPr>
        <w:t>-</w:t>
      </w:r>
      <w:r>
        <w:rPr>
          <w:rFonts w:hint="default" w:ascii="Times New Roman" w:hAnsi="Times New Roman" w:cs="Times New Roman"/>
          <w:color w:val="auto"/>
          <w:kern w:val="0"/>
          <w:sz w:val="24"/>
          <w:highlight w:val="none"/>
        </w:rPr>
        <w:t>0</w:t>
      </w:r>
      <w:r>
        <w:rPr>
          <w:rFonts w:hint="eastAsia" w:cs="Times New Roman"/>
          <w:color w:val="auto"/>
          <w:kern w:val="0"/>
          <w:sz w:val="24"/>
          <w:highlight w:val="none"/>
          <w:lang w:val="en-US" w:eastAsia="zh-CN"/>
        </w:rPr>
        <w:t>40</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textAlignment w:val="auto"/>
        <w:rPr>
          <w:rFonts w:hint="default" w:ascii="Times New Roman" w:hAnsi="Times New Roman" w:cs="Times New Roman"/>
          <w:color w:val="000000"/>
          <w:kern w:val="0"/>
          <w:sz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jc w:val="center"/>
        <w:textAlignment w:val="auto"/>
        <w:rPr>
          <w:rFonts w:hint="eastAsia" w:ascii="方正小标宋简体" w:hAnsi="方正小标宋简体" w:eastAsia="方正小标宋简体" w:cs="方正小标宋简体"/>
          <w:b w:val="0"/>
          <w:bCs w:val="0"/>
          <w:color w:val="000000"/>
          <w:sz w:val="32"/>
          <w:szCs w:val="32"/>
          <w:highlight w:val="none"/>
        </w:rPr>
      </w:pPr>
      <w:r>
        <w:rPr>
          <w:rFonts w:hint="eastAsia" w:ascii="方正小标宋简体" w:hAnsi="方正小标宋简体" w:eastAsia="方正小标宋简体" w:cs="方正小标宋简体"/>
          <w:b w:val="0"/>
          <w:bCs w:val="0"/>
          <w:color w:val="000000"/>
          <w:sz w:val="32"/>
          <w:szCs w:val="32"/>
          <w:highlight w:val="none"/>
        </w:rPr>
        <w:t>国家能源集团长源电力股份有限公司</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jc w:val="center"/>
        <w:textAlignment w:val="auto"/>
        <w:rPr>
          <w:rFonts w:hint="eastAsia" w:ascii="方正小标宋简体" w:hAnsi="方正小标宋简体" w:eastAsia="方正小标宋简体" w:cs="方正小标宋简体"/>
          <w:b/>
          <w:bCs/>
          <w:color w:val="000000"/>
          <w:sz w:val="36"/>
          <w:szCs w:val="36"/>
          <w:highlight w:val="none"/>
        </w:rPr>
      </w:pPr>
      <w:r>
        <w:rPr>
          <w:rFonts w:hint="eastAsia" w:ascii="方正小标宋简体" w:hAnsi="方正小标宋简体" w:eastAsia="方正小标宋简体" w:cs="方正小标宋简体"/>
          <w:b w:val="0"/>
          <w:bCs w:val="0"/>
          <w:color w:val="000000"/>
          <w:sz w:val="32"/>
          <w:szCs w:val="32"/>
          <w:highlight w:val="none"/>
        </w:rPr>
        <w:t>202</w:t>
      </w:r>
      <w:r>
        <w:rPr>
          <w:rFonts w:hint="eastAsia" w:ascii="方正小标宋简体" w:hAnsi="方正小标宋简体" w:eastAsia="方正小标宋简体" w:cs="方正小标宋简体"/>
          <w:b w:val="0"/>
          <w:bCs w:val="0"/>
          <w:color w:val="000000"/>
          <w:sz w:val="32"/>
          <w:szCs w:val="32"/>
          <w:highlight w:val="none"/>
          <w:lang w:val="en-US" w:eastAsia="zh-CN"/>
        </w:rPr>
        <w:t>3</w:t>
      </w:r>
      <w:r>
        <w:rPr>
          <w:rFonts w:hint="eastAsia" w:ascii="方正小标宋简体" w:hAnsi="方正小标宋简体" w:eastAsia="方正小标宋简体" w:cs="方正小标宋简体"/>
          <w:b w:val="0"/>
          <w:bCs w:val="0"/>
          <w:color w:val="000000"/>
          <w:sz w:val="32"/>
          <w:szCs w:val="32"/>
          <w:highlight w:val="none"/>
        </w:rPr>
        <w:t>年第一季度报告</w:t>
      </w:r>
    </w:p>
    <w:p>
      <w:pPr>
        <w:keepNext w:val="0"/>
        <w:keepLines w:val="0"/>
        <w:pageBreakBefore w:val="0"/>
        <w:widowControl w:val="0"/>
        <w:kinsoku/>
        <w:wordWrap/>
        <w:overflowPunct/>
        <w:topLinePunct w:val="0"/>
        <w:autoSpaceDE/>
        <w:autoSpaceDN/>
        <w:bidi w:val="0"/>
        <w:adjustRightInd/>
        <w:snapToGrid/>
        <w:spacing w:before="0" w:beforeLines="0" w:after="0" w:afterLines="0" w:line="440" w:lineRule="exact"/>
        <w:jc w:val="center"/>
        <w:textAlignment w:val="auto"/>
        <w:rPr>
          <w:rFonts w:hint="default" w:ascii="Times New Roman" w:hAnsi="Times New Roman" w:eastAsia="宋体" w:cs="Times New Roman"/>
          <w:color w:val="000000"/>
          <w:sz w:val="32"/>
          <w:highlight w:val="none"/>
        </w:rPr>
      </w:pPr>
    </w:p>
    <w:tbl>
      <w:tblPr>
        <w:tblStyle w:val="3"/>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6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0" w:beforeLines="0" w:after="0" w:afterLines="0" w:line="400" w:lineRule="exact"/>
              <w:ind w:firstLine="480" w:firstLineChars="200"/>
              <w:rPr>
                <w:rFonts w:hint="default" w:ascii="Times New Roman" w:hAnsi="Times New Roman" w:cs="Times New Roman"/>
                <w:color w:val="000000"/>
                <w:sz w:val="30"/>
                <w:highlight w:val="none"/>
              </w:rPr>
            </w:pPr>
            <w:r>
              <w:rPr>
                <w:rFonts w:hint="default" w:ascii="Times New Roman" w:hAnsi="Times New Roman" w:cs="Times New Roman"/>
                <w:color w:val="000000"/>
                <w:sz w:val="24"/>
                <w:highlight w:val="none"/>
              </w:rPr>
              <w:t>本公司及董事会全体成员保证信息披露的内容真实、准确、完整，没有虚假记载、误导性陈述或重大遗漏。</w:t>
            </w:r>
          </w:p>
        </w:tc>
      </w:tr>
    </w:tbl>
    <w:p>
      <w:pPr>
        <w:spacing w:beforeLines="0" w:afterLines="0" w:line="400" w:lineRule="exact"/>
        <w:rPr>
          <w:rFonts w:hint="default" w:ascii="Times New Roman" w:hAnsi="Times New Roman" w:cs="Times New Roman"/>
          <w:b/>
          <w:color w:val="000000"/>
          <w:sz w:val="24"/>
          <w:highlight w:val="none"/>
        </w:rPr>
      </w:pPr>
    </w:p>
    <w:p>
      <w:pPr>
        <w:spacing w:beforeLines="0" w:afterLines="0" w:line="400" w:lineRule="exact"/>
        <w:rPr>
          <w:rFonts w:hint="default" w:ascii="Times New Roman" w:hAnsi="Times New Roman" w:eastAsia="Times New Roman" w:cs="Times New Roman"/>
          <w:b/>
          <w:color w:val="000000"/>
          <w:sz w:val="24"/>
          <w:highlight w:val="none"/>
        </w:rPr>
      </w:pPr>
      <w:r>
        <w:rPr>
          <w:rFonts w:hint="default" w:ascii="Times New Roman" w:hAnsi="Times New Roman" w:cs="Times New Roman"/>
          <w:b/>
          <w:color w:val="000000"/>
          <w:sz w:val="24"/>
          <w:highlight w:val="none"/>
        </w:rPr>
        <w:t>重要内容提示:</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80" w:lineRule="exact"/>
        <w:ind w:firstLine="480" w:firstLineChars="200"/>
        <w:jc w:val="left"/>
        <w:textAlignment w:val="auto"/>
        <w:rPr>
          <w:rFonts w:hint="default" w:ascii="Times New Roman" w:hAnsi="Times New Roman" w:eastAsia="Times New Roman" w:cs="Times New Roman"/>
          <w:color w:val="000000"/>
          <w:sz w:val="24"/>
          <w:szCs w:val="24"/>
          <w:highlight w:val="none"/>
        </w:rPr>
      </w:pPr>
      <w:r>
        <w:rPr>
          <w:rFonts w:hint="default" w:ascii="Times New Roman" w:hAnsi="Times New Roman" w:cs="Times New Roman"/>
          <w:color w:val="000000"/>
          <w:sz w:val="24"/>
          <w:szCs w:val="24"/>
          <w:highlight w:val="none"/>
        </w:rPr>
        <w:t>董事会、监事会及董事、监事、高级管理人员保证季度报告的真实、准确、完整，不存在虚假记载、误导性陈述或重大遗漏，并承担个别和连带的法律责任。</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80" w:lineRule="exact"/>
        <w:ind w:left="0" w:leftChars="0" w:firstLine="480" w:firstLineChars="200"/>
        <w:jc w:val="left"/>
        <w:textAlignment w:val="auto"/>
        <w:rPr>
          <w:rFonts w:hint="default" w:ascii="Times New Roman" w:hAnsi="Times New Roman" w:eastAsia="Times New Roman" w:cs="Times New Roman"/>
          <w:color w:val="000000"/>
          <w:sz w:val="24"/>
          <w:szCs w:val="24"/>
          <w:highlight w:val="none"/>
        </w:rPr>
      </w:pPr>
      <w:r>
        <w:rPr>
          <w:rFonts w:hint="default" w:ascii="Times New Roman" w:hAnsi="Times New Roman" w:cs="Times New Roman"/>
          <w:color w:val="000000"/>
          <w:sz w:val="24"/>
          <w:szCs w:val="24"/>
          <w:highlight w:val="none"/>
        </w:rPr>
        <w:t>公司负责人、主管会计工作负责人及会计机构负责人(会计主管人员)声明：保证季度报告中财务信息的真实、准确、完整。</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80" w:lineRule="exact"/>
        <w:ind w:left="0" w:leftChars="0" w:firstLine="480" w:firstLineChars="200"/>
        <w:jc w:val="left"/>
        <w:textAlignment w:val="auto"/>
        <w:rPr>
          <w:rFonts w:hint="default" w:ascii="Times New Roman" w:hAnsi="Times New Roman" w:eastAsia="Times New Roman" w:cs="Times New Roman"/>
          <w:color w:val="000000"/>
          <w:sz w:val="24"/>
          <w:szCs w:val="24"/>
          <w:highlight w:val="none"/>
        </w:rPr>
      </w:pPr>
      <w:r>
        <w:rPr>
          <w:rFonts w:hint="default" w:ascii="Times New Roman" w:hAnsi="Times New Roman" w:cs="Times New Roman"/>
          <w:color w:val="000000"/>
          <w:sz w:val="24"/>
          <w:szCs w:val="24"/>
          <w:highlight w:val="none"/>
        </w:rPr>
        <w:t>第一季度报告是否经过审计</w:t>
      </w:r>
    </w:p>
    <w:p>
      <w:pPr>
        <w:keepNext w:val="0"/>
        <w:keepLines w:val="0"/>
        <w:pageBreakBefore w:val="0"/>
        <w:widowControl w:val="0"/>
        <w:kinsoku/>
        <w:wordWrap/>
        <w:overflowPunct/>
        <w:topLinePunct w:val="0"/>
        <w:autoSpaceDE/>
        <w:autoSpaceDN/>
        <w:bidi w:val="0"/>
        <w:adjustRightInd/>
        <w:snapToGrid/>
        <w:spacing w:beforeLines="0" w:afterLines="0" w:line="380" w:lineRule="exact"/>
        <w:ind w:firstLine="480" w:firstLineChars="200"/>
        <w:jc w:val="left"/>
        <w:textAlignment w:val="auto"/>
        <w:rPr>
          <w:rFonts w:hint="default" w:ascii="Times New Roman" w:hAnsi="Times New Roman" w:eastAsia="Times New Roman" w:cs="Times New Roman"/>
          <w:color w:val="000000"/>
          <w:sz w:val="24"/>
          <w:szCs w:val="24"/>
          <w:highlight w:val="none"/>
        </w:rPr>
      </w:pPr>
      <w:r>
        <w:rPr>
          <w:rFonts w:hint="eastAsia" w:asciiTheme="minorEastAsia" w:hAnsiTheme="minorEastAsia" w:eastAsiaTheme="minorEastAsia" w:cstheme="minorEastAsia"/>
          <w:color w:val="000000"/>
          <w:sz w:val="24"/>
          <w:szCs w:val="24"/>
          <w:highlight w:val="none"/>
        </w:rPr>
        <w:t>□</w:t>
      </w:r>
      <w:r>
        <w:rPr>
          <w:rFonts w:hint="default" w:ascii="Times New Roman" w:hAnsi="Times New Roman" w:cs="Times New Roman"/>
          <w:color w:val="000000"/>
          <w:sz w:val="24"/>
          <w:szCs w:val="24"/>
          <w:highlight w:val="none"/>
        </w:rPr>
        <w:t xml:space="preserve"> 是 </w:t>
      </w:r>
      <w:r>
        <w:rPr>
          <w:rFonts w:hint="eastAsia" w:asciiTheme="minorEastAsia" w:hAnsiTheme="minorEastAsia" w:eastAsiaTheme="minorEastAsia" w:cstheme="minorEastAsia"/>
          <w:color w:val="000000"/>
          <w:sz w:val="24"/>
          <w:szCs w:val="24"/>
          <w:highlight w:val="none"/>
        </w:rPr>
        <w:sym w:font="Wingdings 2" w:char="0052"/>
      </w:r>
      <w:r>
        <w:rPr>
          <w:rFonts w:hint="default" w:ascii="Times New Roman" w:hAnsi="Times New Roman" w:cs="Times New Roman"/>
          <w:color w:val="000000"/>
          <w:sz w:val="24"/>
          <w:szCs w:val="24"/>
          <w:highlight w:val="none"/>
        </w:rPr>
        <w:t xml:space="preserve">  否</w:t>
      </w:r>
      <w:r>
        <w:rPr>
          <w:rFonts w:hint="default" w:ascii="Times New Roman" w:hAnsi="Times New Roman" w:eastAsia="Times New Roman" w:cs="Times New Roman"/>
          <w:color w:val="000000"/>
          <w:sz w:val="24"/>
          <w:szCs w:val="24"/>
          <w:highlight w:val="none"/>
        </w:rPr>
        <w:t xml:space="preserve"> </w:t>
      </w:r>
    </w:p>
    <w:p>
      <w:pPr>
        <w:rPr>
          <w:rFonts w:hint="default" w:ascii="Times New Roman" w:hAnsi="Times New Roman" w:eastAsia="宋体" w:cs="Times New Roman"/>
          <w:b/>
          <w:bCs/>
          <w:sz w:val="24"/>
          <w:szCs w:val="24"/>
          <w:highlight w:val="none"/>
        </w:rPr>
      </w:pPr>
      <w:bookmarkStart w:id="0" w:name="_Toc988889"/>
    </w:p>
    <w:p>
      <w:pP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一、主要财务数据</w:t>
      </w:r>
      <w:bookmarkEnd w:id="0"/>
    </w:p>
    <w:p>
      <w:pPr>
        <w:keepNext/>
        <w:keepLines/>
        <w:spacing w:before="300" w:after="300" w:line="280" w:lineRule="exact"/>
        <w:jc w:val="left"/>
        <w:outlineLvl w:val="1"/>
        <w:rPr>
          <w:rFonts w:hint="default" w:ascii="Times New Roman" w:hAnsi="Times New Roman" w:eastAsia="宋体" w:cs="Times New Roman"/>
          <w:b/>
          <w:bCs/>
          <w:sz w:val="21"/>
          <w:szCs w:val="21"/>
          <w:highlight w:val="none"/>
        </w:rPr>
      </w:pPr>
      <w:bookmarkStart w:id="1" w:name="_Toc988890"/>
      <w:r>
        <w:rPr>
          <w:rFonts w:hint="default" w:ascii="Times New Roman" w:hAnsi="Times New Roman" w:eastAsia="宋体" w:cs="Times New Roman"/>
          <w:b/>
          <w:bCs/>
          <w:sz w:val="21"/>
          <w:szCs w:val="21"/>
          <w:highlight w:val="none"/>
        </w:rPr>
        <w:t>（一） 主要会计数据和财务指标</w:t>
      </w:r>
      <w:bookmarkEnd w:id="1"/>
    </w:p>
    <w:p>
      <w:pPr>
        <w:spacing w:before="40" w:after="40" w:line="240" w:lineRule="exact"/>
        <w:jc w:val="lef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公司是否需追溯调整或重述以前年度会计数据</w:t>
      </w:r>
    </w:p>
    <w:p>
      <w:pPr>
        <w:spacing w:before="0" w:after="0" w:line="240" w:lineRule="exact"/>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□是 </w:t>
      </w:r>
      <w:r>
        <w:rPr>
          <w:rFonts w:hint="eastAsia" w:asciiTheme="minorEastAsia" w:hAnsiTheme="minorEastAsia" w:eastAsiaTheme="minorEastAsia" w:cstheme="minorEastAsia"/>
          <w:sz w:val="21"/>
          <w:szCs w:val="21"/>
          <w:highlight w:val="none"/>
        </w:rPr>
        <w:sym w:font="Wingdings 2" w:char="F052"/>
      </w:r>
      <w:r>
        <w:rPr>
          <w:rFonts w:hint="eastAsia" w:asciiTheme="minorEastAsia" w:hAnsiTheme="minorEastAsia" w:eastAsiaTheme="minorEastAsia" w:cstheme="minorEastAsia"/>
          <w:sz w:val="21"/>
          <w:szCs w:val="21"/>
          <w:highlight w:val="none"/>
        </w:rPr>
        <w:t>否</w:t>
      </w:r>
    </w:p>
    <w:tbl>
      <w:tblPr>
        <w:tblStyle w:val="3"/>
        <w:tblW w:w="9837"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2711"/>
        <w:gridCol w:w="2109"/>
        <w:gridCol w:w="2006"/>
        <w:gridCol w:w="301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711"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highlight w:val="none"/>
              </w:rPr>
            </w:pPr>
          </w:p>
        </w:tc>
        <w:tc>
          <w:tcPr>
            <w:tcW w:w="21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本报告期</w:t>
            </w:r>
          </w:p>
        </w:tc>
        <w:tc>
          <w:tcPr>
            <w:tcW w:w="20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上年同期</w:t>
            </w:r>
          </w:p>
        </w:tc>
        <w:tc>
          <w:tcPr>
            <w:tcW w:w="30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本报告期比上年同期增减（%）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7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营业收入（元）</w:t>
            </w:r>
          </w:p>
        </w:tc>
        <w:tc>
          <w:tcPr>
            <w:tcW w:w="21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3,923,397,781.52</w:t>
            </w:r>
          </w:p>
        </w:tc>
        <w:tc>
          <w:tcPr>
            <w:tcW w:w="20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3,669,332,673.53</w:t>
            </w:r>
          </w:p>
        </w:tc>
        <w:tc>
          <w:tcPr>
            <w:tcW w:w="30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6.92%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7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归属于上市公司股东的净利润（元）</w:t>
            </w:r>
          </w:p>
        </w:tc>
        <w:tc>
          <w:tcPr>
            <w:tcW w:w="21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221,492,612.67</w:t>
            </w:r>
          </w:p>
        </w:tc>
        <w:tc>
          <w:tcPr>
            <w:tcW w:w="20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79,978,287.35</w:t>
            </w:r>
          </w:p>
        </w:tc>
        <w:tc>
          <w:tcPr>
            <w:tcW w:w="30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176.94%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7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归属于上市公司股东的扣除非经常性损益的净利润（元）</w:t>
            </w:r>
          </w:p>
        </w:tc>
        <w:tc>
          <w:tcPr>
            <w:tcW w:w="21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218,932,009.95</w:t>
            </w:r>
          </w:p>
        </w:tc>
        <w:tc>
          <w:tcPr>
            <w:tcW w:w="20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77,861,206.68</w:t>
            </w:r>
          </w:p>
        </w:tc>
        <w:tc>
          <w:tcPr>
            <w:tcW w:w="30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181.18%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7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经营活动产生的现金流量净额（元）</w:t>
            </w:r>
          </w:p>
        </w:tc>
        <w:tc>
          <w:tcPr>
            <w:tcW w:w="21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439,079,479.14</w:t>
            </w:r>
          </w:p>
        </w:tc>
        <w:tc>
          <w:tcPr>
            <w:tcW w:w="20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375,565,646.79</w:t>
            </w:r>
          </w:p>
        </w:tc>
        <w:tc>
          <w:tcPr>
            <w:tcW w:w="30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16.91%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7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基本每股收益（元/股）</w:t>
            </w:r>
          </w:p>
        </w:tc>
        <w:tc>
          <w:tcPr>
            <w:tcW w:w="21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0.0806</w:t>
            </w:r>
          </w:p>
        </w:tc>
        <w:tc>
          <w:tcPr>
            <w:tcW w:w="20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0.0298</w:t>
            </w:r>
          </w:p>
        </w:tc>
        <w:tc>
          <w:tcPr>
            <w:tcW w:w="30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170.47%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7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稀释每股收益（元/股）</w:t>
            </w:r>
          </w:p>
        </w:tc>
        <w:tc>
          <w:tcPr>
            <w:tcW w:w="21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0.0806</w:t>
            </w:r>
          </w:p>
        </w:tc>
        <w:tc>
          <w:tcPr>
            <w:tcW w:w="20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0.0298</w:t>
            </w:r>
          </w:p>
        </w:tc>
        <w:tc>
          <w:tcPr>
            <w:tcW w:w="30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170.47%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7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加权平均净资产收益率</w:t>
            </w:r>
          </w:p>
        </w:tc>
        <w:tc>
          <w:tcPr>
            <w:tcW w:w="21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2.28%</w:t>
            </w:r>
          </w:p>
        </w:tc>
        <w:tc>
          <w:tcPr>
            <w:tcW w:w="20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0.83%</w:t>
            </w:r>
          </w:p>
        </w:tc>
        <w:tc>
          <w:tcPr>
            <w:tcW w:w="30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1.45%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711"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highlight w:val="none"/>
              </w:rPr>
            </w:pPr>
          </w:p>
        </w:tc>
        <w:tc>
          <w:tcPr>
            <w:tcW w:w="2109"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本报告期末</w:t>
            </w:r>
          </w:p>
        </w:tc>
        <w:tc>
          <w:tcPr>
            <w:tcW w:w="2006"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上年度末</w:t>
            </w:r>
          </w:p>
        </w:tc>
        <w:tc>
          <w:tcPr>
            <w:tcW w:w="30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本报告期末比上年度末增减（%）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7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总资产（元）</w:t>
            </w:r>
          </w:p>
        </w:tc>
        <w:tc>
          <w:tcPr>
            <w:tcW w:w="21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31,807,129,808.05</w:t>
            </w:r>
          </w:p>
        </w:tc>
        <w:tc>
          <w:tcPr>
            <w:tcW w:w="20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i w:val="0"/>
                <w:caps w:val="0"/>
                <w:spacing w:val="0"/>
                <w:sz w:val="18"/>
                <w:szCs w:val="18"/>
                <w:highlight w:val="none"/>
                <w:u w:val="none"/>
                <w:shd w:val="clear"/>
                <w:vertAlign w:val="baseline"/>
              </w:rPr>
              <w:t>30,834,062,684.52</w:t>
            </w:r>
          </w:p>
        </w:tc>
        <w:tc>
          <w:tcPr>
            <w:tcW w:w="30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w:t>
            </w:r>
            <w:r>
              <w:rPr>
                <w:rFonts w:hint="eastAsia" w:cs="Times New Roman"/>
                <w:sz w:val="18"/>
                <w:szCs w:val="18"/>
                <w:highlight w:val="none"/>
                <w:lang w:val="en-US" w:eastAsia="zh-CN"/>
              </w:rPr>
              <w:t>16</w:t>
            </w:r>
            <w:r>
              <w:rPr>
                <w:rFonts w:hint="default" w:ascii="Times New Roman" w:hAnsi="Times New Roman" w:eastAsia="宋体" w:cs="Times New Roman"/>
                <w:sz w:val="18"/>
                <w:szCs w:val="18"/>
                <w:highlight w:val="none"/>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711"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归属于上市公司股东的所有者权益（元）</w:t>
            </w:r>
          </w:p>
        </w:tc>
        <w:tc>
          <w:tcPr>
            <w:tcW w:w="2109"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9,845,782,047.02</w:t>
            </w:r>
          </w:p>
        </w:tc>
        <w:tc>
          <w:tcPr>
            <w:tcW w:w="2006"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9,594,531,129.13</w:t>
            </w:r>
          </w:p>
        </w:tc>
        <w:tc>
          <w:tcPr>
            <w:tcW w:w="3011"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2.62%</w:t>
            </w:r>
          </w:p>
        </w:tc>
      </w:tr>
    </w:tbl>
    <w:p>
      <w:pPr>
        <w:keepNext/>
        <w:keepLines/>
        <w:spacing w:before="300" w:after="300" w:line="280" w:lineRule="exact"/>
        <w:jc w:val="left"/>
        <w:outlineLvl w:val="1"/>
        <w:rPr>
          <w:rFonts w:hint="default" w:ascii="Times New Roman" w:hAnsi="Times New Roman" w:eastAsia="宋体" w:cs="Times New Roman"/>
          <w:b/>
          <w:bCs/>
          <w:sz w:val="21"/>
          <w:szCs w:val="21"/>
          <w:highlight w:val="none"/>
        </w:rPr>
      </w:pPr>
      <w:bookmarkStart w:id="2" w:name="_Toc988891"/>
      <w:r>
        <w:rPr>
          <w:rFonts w:hint="default" w:ascii="Times New Roman" w:hAnsi="Times New Roman" w:eastAsia="宋体" w:cs="Times New Roman"/>
          <w:b/>
          <w:bCs/>
          <w:sz w:val="21"/>
          <w:szCs w:val="21"/>
          <w:highlight w:val="none"/>
        </w:rPr>
        <w:t>（二） 非经常性损益项目和金额</w:t>
      </w:r>
      <w:bookmarkEnd w:id="2"/>
    </w:p>
    <w:p>
      <w:pPr>
        <w:spacing w:before="0" w:after="0" w:line="240" w:lineRule="exact"/>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sym w:font="Wingdings 2" w:char="F052"/>
      </w:r>
      <w:r>
        <w:rPr>
          <w:rFonts w:hint="eastAsia" w:asciiTheme="minorEastAsia" w:hAnsiTheme="minorEastAsia" w:eastAsiaTheme="minorEastAsia" w:cstheme="minorEastAsia"/>
          <w:sz w:val="21"/>
          <w:szCs w:val="21"/>
          <w:highlight w:val="none"/>
        </w:rPr>
        <w:t>适用 □不适用</w:t>
      </w:r>
    </w:p>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单位：元</w:t>
      </w:r>
    </w:p>
    <w:tbl>
      <w:tblPr>
        <w:tblStyle w:val="3"/>
        <w:tblW w:w="9639"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本报告期金额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非流动资产处置损益（包括已计提资产减值准备的冲销部分）</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5,167.60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计入当期损益的政府补助（与公司正常经营业务密切相关，符合国家政策规定、按照一定标准定额或定量持续享受的政府补助除外）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1,681,157.02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除上述各项之外的其他营业外收入和支出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1,142,096.01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减：所得税影响额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264,669.12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少数股东权益影响额（税后）</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3,148.79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2,560,602.72</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highlight w:val="none"/>
              </w:rPr>
            </w:pPr>
          </w:p>
        </w:tc>
      </w:tr>
    </w:tbl>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其他符合非经常性损益定义的损益项目的具体情况</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□适用 </w:t>
      </w:r>
      <w:r>
        <w:rPr>
          <w:rFonts w:hint="eastAsia" w:asciiTheme="minorEastAsia" w:hAnsiTheme="minorEastAsia" w:eastAsiaTheme="minorEastAsia" w:cstheme="minorEastAsia"/>
          <w:sz w:val="21"/>
          <w:szCs w:val="21"/>
          <w:highlight w:val="none"/>
        </w:rPr>
        <w:sym w:font="Wingdings 2" w:char="F052"/>
      </w:r>
      <w:r>
        <w:rPr>
          <w:rFonts w:hint="eastAsia" w:asciiTheme="minorEastAsia" w:hAnsiTheme="minorEastAsia" w:eastAsiaTheme="minorEastAsia" w:cstheme="minorEastAsia"/>
          <w:sz w:val="21"/>
          <w:szCs w:val="21"/>
          <w:highlight w:val="none"/>
        </w:rPr>
        <w:t>不适用</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公司不存在其他符合非经常性损益定义的损益项目的具体情况。</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将《公开发行证券的公司信息披露解释性公告第1号——非经常性损益》中列举的非经常性损益项目界定为经常性损益项目的情况说明
</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default" w:asciiTheme="minorEastAsia" w:hAnsiTheme="minorEastAsia" w:eastAsiaTheme="minorEastAsia" w:cstheme="minorEastAsia"/>
          <w:sz w:val="21"/>
          <w:szCs w:val="21"/>
          <w:highlight w:val="none"/>
        </w:rPr>
      </w:pPr>
      <w:r>
        <w:rPr>
          <w:rFonts w:hint="default" w:asciiTheme="minorEastAsia" w:hAnsiTheme="minorEastAsia" w:eastAsiaTheme="minorEastAsia" w:cstheme="minorEastAsia"/>
          <w:sz w:val="21"/>
          <w:szCs w:val="21"/>
          <w:highlight w:val="none"/>
        </w:rPr>
        <w:t xml:space="preserve">□适用 </w:t>
      </w:r>
      <w:r>
        <w:rPr>
          <w:rFonts w:hint="default" w:asciiTheme="minorEastAsia" w:hAnsiTheme="minorEastAsia" w:eastAsiaTheme="minorEastAsia" w:cstheme="minorEastAsia"/>
          <w:sz w:val="21"/>
          <w:szCs w:val="21"/>
          <w:highlight w:val="none"/>
        </w:rPr>
        <w:sym w:font="Wingdings 2" w:char="F052"/>
      </w:r>
      <w:r>
        <w:rPr>
          <w:rFonts w:hint="default" w:asciiTheme="minorEastAsia" w:hAnsiTheme="minorEastAsia" w:eastAsiaTheme="minorEastAsia" w:cstheme="minorEastAsia"/>
          <w:sz w:val="21"/>
          <w:szCs w:val="21"/>
          <w:highlight w:val="none"/>
        </w:rPr>
        <w:t>不适用</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jc w:val="both"/>
        <w:textAlignment w:val="auto"/>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公司不存在将《公开发行证券的公司信息披露解释性公告第1号——非经常性损益》中列举的非经常性损益项目界定为经常性损益的项目的情形。</w:t>
      </w:r>
    </w:p>
    <w:p>
      <w:pPr>
        <w:keepNext/>
        <w:keepLines/>
        <w:spacing w:before="300" w:after="300" w:line="280" w:lineRule="exact"/>
        <w:jc w:val="left"/>
        <w:outlineLvl w:val="1"/>
        <w:rPr>
          <w:rFonts w:hint="default" w:ascii="Times New Roman" w:hAnsi="Times New Roman" w:eastAsia="宋体" w:cs="Times New Roman"/>
          <w:b/>
          <w:bCs/>
          <w:sz w:val="21"/>
          <w:szCs w:val="21"/>
          <w:highlight w:val="none"/>
        </w:rPr>
      </w:pPr>
      <w:bookmarkStart w:id="3" w:name="_Toc988892"/>
      <w:r>
        <w:rPr>
          <w:rFonts w:hint="default" w:ascii="Times New Roman" w:hAnsi="Times New Roman" w:eastAsia="宋体" w:cs="Times New Roman"/>
          <w:b/>
          <w:bCs/>
          <w:sz w:val="21"/>
          <w:szCs w:val="21"/>
          <w:highlight w:val="none"/>
        </w:rPr>
        <w:t>（三） 主要会计数据和财务指标发生变动的情况及原因</w:t>
      </w:r>
      <w:bookmarkEnd w:id="3"/>
    </w:p>
    <w:p>
      <w:pPr>
        <w:keepNext w:val="0"/>
        <w:keepLines w:val="0"/>
        <w:pageBreakBefore w:val="0"/>
        <w:widowControl w:val="0"/>
        <w:kinsoku/>
        <w:wordWrap/>
        <w:overflowPunct/>
        <w:topLinePunct w:val="0"/>
        <w:autoSpaceDE/>
        <w:autoSpaceDN/>
        <w:bidi w:val="0"/>
        <w:adjustRightInd/>
        <w:snapToGrid/>
        <w:spacing w:line="380" w:lineRule="exact"/>
        <w:jc w:val="left"/>
        <w:textAlignment w:val="auto"/>
        <w:rPr>
          <w:rFonts w:hint="default" w:asciiTheme="minorEastAsia" w:hAnsiTheme="minorEastAsia" w:eastAsiaTheme="minorEastAsia" w:cstheme="minorEastAsia"/>
          <w:sz w:val="21"/>
          <w:szCs w:val="21"/>
          <w:highlight w:val="none"/>
        </w:rPr>
      </w:pPr>
      <w:r>
        <w:rPr>
          <w:rFonts w:hint="default" w:asciiTheme="minorEastAsia" w:hAnsiTheme="minorEastAsia" w:eastAsiaTheme="minorEastAsia" w:cstheme="minorEastAsia"/>
          <w:sz w:val="21"/>
          <w:szCs w:val="21"/>
          <w:highlight w:val="none"/>
        </w:rPr>
        <w:sym w:font="Wingdings 2" w:char="F052"/>
      </w:r>
      <w:r>
        <w:rPr>
          <w:rFonts w:hint="default" w:asciiTheme="minorEastAsia" w:hAnsiTheme="minorEastAsia" w:eastAsiaTheme="minorEastAsia" w:cstheme="minorEastAsia"/>
          <w:sz w:val="21"/>
          <w:szCs w:val="21"/>
          <w:highlight w:val="none"/>
        </w:rPr>
        <w:t>适用 □不适用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1. 资产负债表项目：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（1）应收票据期末数为25,763,510.8元，比期初数减少87.92%，其主要原因系报告期内公司电费收入票据结算减少所致；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（2）预付款项期末数为731,123,141.2元，比期初数增加54.1%，其主要原因系报告期内公司火电、光伏基建项目预付款增加所致；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（3）一年内到期的非流动负债期末数为1,197,689,930.32元，比期初数减少36.8%，其主要原因系报告期内公司偿还了部分到期的一年到期的长期借款所致；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（4）递延所得税负债期末数为40,561,174.98元，比期初数增加53.1%，其主要原因系报告期内计提递延所得税费用所致；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（5）专项储备期末数为33,061,903.81元，比期初数增加900.78%，其主要原因系报告期内根据政策计提了</w:t>
      </w:r>
      <w:r>
        <w:rPr>
          <w:rFonts w:hint="eastAsia" w:cs="Times New Roman" w:eastAsiaTheme="minorEastAsia"/>
          <w:sz w:val="24"/>
          <w:szCs w:val="24"/>
          <w:highlight w:val="none"/>
          <w:lang w:val="en-US" w:eastAsia="zh-CN"/>
        </w:rPr>
        <w:t>一</w:t>
      </w:r>
      <w:r>
        <w:rPr>
          <w:rFonts w:hint="default" w:ascii="Times New Roman" w:hAnsi="Times New Roman" w:cs="Times New Roman" w:eastAsiaTheme="minorEastAsia"/>
          <w:sz w:val="24"/>
          <w:szCs w:val="24"/>
          <w:highlight w:val="none"/>
        </w:rPr>
        <w:t>季度的安全生产费。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2. 利润表项目：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（1）税金及附加2023年1-3月发生数为21,743,838.22元，比上期数增加49.7%，其主要原因系报告期内公司应交增值税附加增加所致；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（2）研发费用2023年1-3月发生数为63,716.77元，比上期数减少97.54%，其主要原因系报告期内公司部分研发活动尚未开展所致；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（3）投资收益2023年1-3月发生数为-2,784,148.68元，比上期数减少161.15%，其主要原因系报告期内公司参股企业净利润同比减少所致；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（4）营业利润2023年1-3月发生数为325,867,504.28元，比上期数增加144.2%，其主要原因系报告期内公司发电量同比增加及燃煤价格同比下降所致；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（5）利润总额2023年1-3月发生数为327,009,600.29元，比上期数增加142.54%，其主要原因系报告期内公司发电量同比增加及燃煤价格同比下降所致；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（6）所得税费用2023年1-3月发生数为100,447,621.96元，比上期数增加87.34%，其主要原因系报告期内公司发电量同比增加燃煤价格同比下降，利润总额增加，应纳税所得额增加所致；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（7）净利润2023年1-3月发生数为226,561,978.33元，比上期数增加178.98%，其主要原因系报告期内公司发电量同比增加燃煤价格同比下降，利润总额增加所致；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（8）归属于母公司所有者的净利润2023年1-3月发生数为221,492,612.67元，比上期数增加176.94%，其主要原因系报告期内公司发电量同比增加燃煤价格同比下降，利润总额增加所致。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（9）少数股东损益2023年1-3月发生数为5,069,365.66元，比上期数增加311.38%，其主要原因系报告期内公司非全资子公司净利润同比增加所致。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（10）归属于母公司所有者的综合收益总额2023年1-3月发生数为221,492,612.67元，比上期数增加116.44%，其主要原因系报告期内公司净利润增加所致；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（11）归属于少数股东的综合收益总额2023年1-3月发生数为5,069,365.66元，比上期数增加311.38%，其主要原因系报告期内公司净利润增加所致；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（12）基本每股收益2023年1-3月发生数为0.0806元/股，比上期数增加170.47%，其主要原因系报告期内公司归母净利润增加所致。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3. 现金流量表项目：</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（1）收到的税费返还2023年1-3月发生数为74,555,204.21元，比上期数增加100%，主要原因系报告期内公司收到增值税留抵退税；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（2）收到其他与经营活动有关的现金2023年1-3月发生数为63,847,812.13元，比上期数减少39.43%，主要原因系报告期内公司收到单位间往来款项减少所致；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（3）支付的各项税费2023年1-3月发生数为252,508,584.09元，比上期数增加42.28%，主要原因系报告期内公司支付应交增值税、所得税增加所致；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（4）取得投资收益收到的现金2023年1-3月发生数为0元，比上期数减少100%，主要原因系报告期内公司未收到参股企业分红；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（5）处置固定资产、无形资产和其他长期资产收回的现金净额2023年1-3月发生数为2,923,747.22元，比上期数增加1912.03%，主要原因系报告期内公司资产处置收</w:t>
      </w:r>
      <w:r>
        <w:rPr>
          <w:rFonts w:hint="default" w:ascii="Times New Roman" w:hAnsi="Times New Roman" w:cs="Times New Roman" w:eastAsiaTheme="minorEastAsia"/>
          <w:color w:val="auto"/>
          <w:sz w:val="24"/>
          <w:szCs w:val="24"/>
          <w:highlight w:val="none"/>
        </w:rPr>
        <w:t>到</w:t>
      </w:r>
      <w:r>
        <w:rPr>
          <w:rFonts w:hint="eastAsia" w:ascii="Times New Roman" w:hAnsi="Times New Roman" w:cs="Times New Roman" w:eastAsiaTheme="minorEastAsia"/>
          <w:color w:val="auto"/>
          <w:sz w:val="24"/>
          <w:szCs w:val="24"/>
          <w:highlight w:val="none"/>
          <w:lang w:val="en-US" w:eastAsia="zh-CN"/>
        </w:rPr>
        <w:t>现金</w:t>
      </w:r>
      <w:r>
        <w:rPr>
          <w:rFonts w:hint="default" w:ascii="Times New Roman" w:hAnsi="Times New Roman" w:cs="Times New Roman" w:eastAsiaTheme="minorEastAsia"/>
          <w:sz w:val="24"/>
          <w:szCs w:val="24"/>
          <w:highlight w:val="none"/>
        </w:rPr>
        <w:t>同比增加所致；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（6）收到其他与投资活动有关的现金2023年1-3月发生数为383,080.99元，比上期数减少99.94%，主要原因系公司上年同期收到国电财务有限公司剩余财产分配款项所致；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（7）投资活动现金流入小计2023年1-3月发生数为3,306,828.19元，比上期数减少99.54%，主要原因系公司上年同期收到国电财务有限公司剩余财产分配款项所致；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（8）购建固定资产、无形资产和其他长期资产支付的现金2023年1-3月发生数为1,247,206,338.57元，比上期数增加69.48%，主要原因系报告期内公司新增基建项目投资增加所致；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（9）投资活动现金流出小计2023年1-3月发生数为1,248,359,309.57元，比上期数增加69.59%，主要原因系报告期内公司新增基建项目投资增加所致；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eastAsia" w:ascii="Times New Roman" w:hAnsi="Times New Roman" w:cs="Times New Roman" w:eastAsiaTheme="minorEastAsia"/>
          <w:sz w:val="24"/>
          <w:szCs w:val="24"/>
          <w:highlight w:val="none"/>
          <w:lang w:eastAsia="zh-CN"/>
        </w:rPr>
      </w:pPr>
      <w:r>
        <w:rPr>
          <w:rFonts w:hint="default" w:ascii="Times New Roman" w:hAnsi="Times New Roman" w:cs="Times New Roman" w:eastAsiaTheme="minorEastAsia"/>
          <w:sz w:val="24"/>
          <w:szCs w:val="24"/>
          <w:highlight w:val="none"/>
        </w:rPr>
        <w:t>（10）投资活动产生的现金流量净额2023年1-3月发生数为1,245,052,481.38元，比上期数增加7304.06%，主要原因系报告期内公司火电、光伏基建项目投资增加所致</w:t>
      </w:r>
      <w:r>
        <w:rPr>
          <w:rFonts w:hint="eastAsia" w:ascii="Times New Roman" w:hAnsi="Times New Roman" w:cs="Times New Roman" w:eastAsiaTheme="minorEastAsia"/>
          <w:sz w:val="24"/>
          <w:szCs w:val="24"/>
          <w:highlight w:val="none"/>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（11）取得借款收到的现金2023年1-3月发生数为4,587,004,875.98元，比上期数增加146.07%，主要原因系报告期内公司火电、光伏基建项目新增借款收到的现金增加所致；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80" w:lineRule="exact"/>
        <w:ind w:firstLine="480" w:firstLineChars="200"/>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（12）筹资活动现金流入小计2023年1-3月发生数为4,857,004,875.98元，比上期数增加146.07%，主要原因系报告期内公司取得银行借款收到的现金减少所致；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80" w:lineRule="exact"/>
        <w:ind w:firstLine="480" w:firstLineChars="200"/>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（13分配股利、利润或偿付利息支付的现金2023年1-3月发生数为137,179,134.44元，比上期数增加36.61%，主要原因系报告期内公司火电、光伏基建项目支付项目借款支出现金增加所致；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80" w:lineRule="exact"/>
        <w:ind w:firstLine="480" w:firstLineChars="200"/>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（14）筹资活动产生的现金流量净额2023年1-3月发生数为769,906,418.87元，比上期数增加158.53%，主要原因系报告期内筹资活动现金流入增加所致；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4"/>
          <w:szCs w:val="24"/>
          <w:highlight w:val="none"/>
        </w:rPr>
      </w:pPr>
      <w:r>
        <w:rPr>
          <w:rFonts w:hint="default" w:ascii="Times New Roman" w:hAnsi="Times New Roman" w:cs="Times New Roman" w:eastAsiaTheme="minorEastAsia"/>
          <w:sz w:val="24"/>
          <w:szCs w:val="24"/>
          <w:highlight w:val="none"/>
        </w:rPr>
        <w:t>（15）现金及现金等价物净增加额2023年1-3月发生数为-36,066,583.37元，比上期数增加96.23%，主要原因系报告期内公司筹资活动现金净额增加所致；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80" w:lineRule="exact"/>
        <w:ind w:left="0" w:right="0" w:firstLine="480" w:firstLineChars="200"/>
        <w:jc w:val="both"/>
        <w:textAlignment w:val="auto"/>
        <w:rPr>
          <w:rFonts w:hint="default" w:ascii="Times New Roman" w:hAnsi="Times New Roman" w:cs="Times New Roman" w:eastAsiaTheme="minorEastAsia"/>
          <w:sz w:val="21"/>
          <w:szCs w:val="21"/>
          <w:highlight w:val="none"/>
          <w:lang w:eastAsia="zh-CN"/>
        </w:rPr>
      </w:pPr>
      <w:r>
        <w:rPr>
          <w:rFonts w:hint="default" w:ascii="Times New Roman" w:hAnsi="Times New Roman" w:cs="Times New Roman" w:eastAsiaTheme="minorEastAsia"/>
          <w:sz w:val="24"/>
          <w:szCs w:val="24"/>
          <w:highlight w:val="none"/>
        </w:rPr>
        <w:t>（16）期末现金及现金等价物余额期末数为249,074,580.77元，比上期数增加99.09%，主要原因系报告期内公司现金及现金等价物净增加额增加所致</w:t>
      </w:r>
      <w:r>
        <w:rPr>
          <w:rFonts w:hint="default" w:ascii="Times New Roman" w:hAnsi="Times New Roman" w:cs="Times New Roman" w:eastAsiaTheme="minorEastAsia"/>
          <w:sz w:val="24"/>
          <w:szCs w:val="24"/>
          <w:highlight w:val="none"/>
          <w:lang w:eastAsia="zh-CN"/>
        </w:rPr>
        <w:t>。</w:t>
      </w:r>
    </w:p>
    <w:p>
      <w:pPr>
        <w:keepNext/>
        <w:keepLines/>
        <w:spacing w:before="300" w:after="300" w:line="320" w:lineRule="exact"/>
        <w:jc w:val="left"/>
        <w:outlineLvl w:val="0"/>
        <w:rPr>
          <w:rFonts w:hint="default" w:ascii="Times New Roman" w:hAnsi="Times New Roman" w:eastAsia="宋体" w:cs="Times New Roman"/>
          <w:b/>
          <w:bCs/>
          <w:sz w:val="24"/>
          <w:szCs w:val="24"/>
          <w:highlight w:val="none"/>
        </w:rPr>
      </w:pPr>
      <w:bookmarkStart w:id="4" w:name="_Toc988893"/>
      <w:r>
        <w:rPr>
          <w:rFonts w:hint="default" w:ascii="Times New Roman" w:hAnsi="Times New Roman" w:eastAsia="宋体" w:cs="Times New Roman"/>
          <w:b/>
          <w:bCs/>
          <w:sz w:val="24"/>
          <w:szCs w:val="24"/>
          <w:highlight w:val="none"/>
        </w:rPr>
        <w:t xml:space="preserve">二、股东信息 </w:t>
      </w:r>
      <w:bookmarkEnd w:id="4"/>
    </w:p>
    <w:p>
      <w:pPr>
        <w:keepNext/>
        <w:keepLines/>
        <w:spacing w:before="300" w:after="300" w:line="280" w:lineRule="exact"/>
        <w:jc w:val="left"/>
        <w:outlineLvl w:val="1"/>
        <w:rPr>
          <w:rFonts w:hint="default" w:ascii="Times New Roman" w:hAnsi="Times New Roman" w:eastAsia="宋体" w:cs="Times New Roman"/>
          <w:b/>
          <w:bCs/>
          <w:sz w:val="21"/>
          <w:szCs w:val="21"/>
          <w:highlight w:val="none"/>
        </w:rPr>
      </w:pPr>
      <w:bookmarkStart w:id="5" w:name="_Toc988894"/>
      <w:r>
        <w:rPr>
          <w:rFonts w:hint="default" w:ascii="Times New Roman" w:hAnsi="Times New Roman" w:eastAsia="宋体" w:cs="Times New Roman"/>
          <w:b/>
          <w:bCs/>
          <w:sz w:val="21"/>
          <w:szCs w:val="21"/>
          <w:highlight w:val="none"/>
        </w:rPr>
        <w:t>（一） 普通股股东总数和表决权恢复的优先股股东数量及前十名股东持股情况表</w:t>
      </w:r>
      <w:bookmarkEnd w:id="5"/>
    </w:p>
    <w:p>
      <w:pPr>
        <w:spacing w:before="40" w:after="4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单位：股</w:t>
      </w:r>
    </w:p>
    <w:tbl>
      <w:tblPr>
        <w:tblStyle w:val="3"/>
        <w:tblW w:w="9639"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377"/>
        <w:gridCol w:w="1564"/>
        <w:gridCol w:w="1190"/>
        <w:gridCol w:w="1377"/>
        <w:gridCol w:w="1377"/>
        <w:gridCol w:w="1377"/>
        <w:gridCol w:w="137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941"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报告期末普通股股东总数</w:t>
            </w:r>
          </w:p>
        </w:tc>
        <w:tc>
          <w:tcPr>
            <w:tcW w:w="11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117,897</w:t>
            </w:r>
          </w:p>
        </w:tc>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报告期末表决权恢复的优先股股东总数（如有）</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前10名股东持股情况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股东名称</w:t>
            </w:r>
          </w:p>
        </w:tc>
        <w:tc>
          <w:tcPr>
            <w:tcW w:w="1564"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股东性质</w:t>
            </w:r>
          </w:p>
        </w:tc>
        <w:tc>
          <w:tcPr>
            <w:tcW w:w="1190"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持股比例（%）</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持股数量</w:t>
            </w:r>
          </w:p>
        </w:tc>
        <w:tc>
          <w:tcPr>
            <w:tcW w:w="1377" w:type="dxa"/>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持有有限售条件的股份数量</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质押、标记 或冻结情况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highlight w:val="none"/>
              </w:rPr>
            </w:pPr>
          </w:p>
        </w:tc>
        <w:tc>
          <w:tcPr>
            <w:tcW w:w="1564"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highlight w:val="none"/>
              </w:rPr>
            </w:pPr>
          </w:p>
        </w:tc>
        <w:tc>
          <w:tcPr>
            <w:tcW w:w="1190"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highlight w:val="none"/>
              </w:rPr>
            </w:p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highlight w:val="none"/>
              </w:rPr>
            </w:pPr>
          </w:p>
        </w:tc>
        <w:tc>
          <w:tcPr>
            <w:tcW w:w="1377" w:type="dxa"/>
            <w:vMerge w:val="continue"/>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highlight w:val="none"/>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股份状态</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国家能源投资集团有限责任公司</w:t>
            </w:r>
          </w:p>
        </w:tc>
        <w:tc>
          <w:tcPr>
            <w:tcW w:w="15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国有法人</w:t>
            </w:r>
          </w:p>
        </w:tc>
        <w:tc>
          <w:tcPr>
            <w:tcW w:w="11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67.50%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1,855,817,730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1,441,376,398</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湖北能源集团股份有限公司</w:t>
            </w:r>
          </w:p>
        </w:tc>
        <w:tc>
          <w:tcPr>
            <w:tcW w:w="15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国有法人</w:t>
            </w:r>
          </w:p>
        </w:tc>
        <w:tc>
          <w:tcPr>
            <w:tcW w:w="11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1.50%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41,158,725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何慧清</w:t>
            </w:r>
          </w:p>
        </w:tc>
        <w:tc>
          <w:tcPr>
            <w:tcW w:w="15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境内自然人</w:t>
            </w:r>
          </w:p>
        </w:tc>
        <w:tc>
          <w:tcPr>
            <w:tcW w:w="11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0.77%</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21,177,700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王梓煜</w:t>
            </w:r>
          </w:p>
        </w:tc>
        <w:tc>
          <w:tcPr>
            <w:tcW w:w="15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境内自然人</w:t>
            </w:r>
          </w:p>
        </w:tc>
        <w:tc>
          <w:tcPr>
            <w:tcW w:w="11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0.39%</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10,614,500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湖北正源电力集团有限公司</w:t>
            </w:r>
          </w:p>
        </w:tc>
        <w:tc>
          <w:tcPr>
            <w:tcW w:w="15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境内非国有法人</w:t>
            </w:r>
          </w:p>
        </w:tc>
        <w:tc>
          <w:tcPr>
            <w:tcW w:w="11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0.36%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10,006,242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香港中央结算有限公司</w:t>
            </w:r>
          </w:p>
        </w:tc>
        <w:tc>
          <w:tcPr>
            <w:tcW w:w="15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境外法人</w:t>
            </w:r>
          </w:p>
        </w:tc>
        <w:tc>
          <w:tcPr>
            <w:tcW w:w="11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0.30%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8,215,564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广发证券股份有限公司</w:t>
            </w:r>
          </w:p>
        </w:tc>
        <w:tc>
          <w:tcPr>
            <w:tcW w:w="15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境内非国有法人</w:t>
            </w:r>
          </w:p>
        </w:tc>
        <w:tc>
          <w:tcPr>
            <w:tcW w:w="11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0.16%</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4,369,580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万玉梅</w:t>
            </w:r>
          </w:p>
        </w:tc>
        <w:tc>
          <w:tcPr>
            <w:tcW w:w="15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境内自然人</w:t>
            </w:r>
          </w:p>
        </w:tc>
        <w:tc>
          <w:tcPr>
            <w:tcW w:w="11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0.14%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3,850,000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财通基金－协众创新私募证券投资基金－财通基金玉泉协众创新单一资产管理计划</w:t>
            </w:r>
          </w:p>
        </w:tc>
        <w:tc>
          <w:tcPr>
            <w:tcW w:w="15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境内非国有法人</w:t>
            </w:r>
          </w:p>
        </w:tc>
        <w:tc>
          <w:tcPr>
            <w:tcW w:w="11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0.14%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3,826,955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夏海东</w:t>
            </w:r>
          </w:p>
        </w:tc>
        <w:tc>
          <w:tcPr>
            <w:tcW w:w="1564"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境内自然人</w:t>
            </w:r>
          </w:p>
        </w:tc>
        <w:tc>
          <w:tcPr>
            <w:tcW w:w="1190"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0.12%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3,277,912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9639" w:type="dxa"/>
            <w:gridSpan w:val="7"/>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前10名无限售条件股东持股情况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941" w:type="dxa"/>
            <w:gridSpan w:val="2"/>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股东名称</w:t>
            </w:r>
          </w:p>
        </w:tc>
        <w:tc>
          <w:tcPr>
            <w:tcW w:w="3944" w:type="dxa"/>
            <w:gridSpan w:val="3"/>
            <w:vMerge w:val="restart"/>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持有无限售条件股份数量</w:t>
            </w:r>
          </w:p>
        </w:tc>
        <w:tc>
          <w:tcPr>
            <w:tcW w:w="2754" w:type="dxa"/>
            <w:gridSpan w:val="2"/>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股份种类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941" w:type="dxa"/>
            <w:gridSpan w:val="2"/>
            <w:vMerge w:val="continue"/>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highlight w:val="none"/>
              </w:rPr>
            </w:pPr>
          </w:p>
        </w:tc>
        <w:tc>
          <w:tcPr>
            <w:tcW w:w="3944" w:type="dxa"/>
            <w:gridSpan w:val="3"/>
            <w:vMerge w:val="continue"/>
            <w:tcBorders>
              <w:top w:val="single" w:color="auto" w:sz="2" w:space="0"/>
              <w:left w:val="single" w:color="auto" w:sz="2" w:space="0"/>
              <w:bottom w:val="single" w:color="auto" w:sz="2" w:space="0"/>
              <w:right w:val="single" w:color="auto" w:sz="2" w:space="0"/>
            </w:tcBorders>
            <w:vAlign w:val="center"/>
          </w:tcPr>
          <w:p>
            <w:pPr>
              <w:rPr>
                <w:rFonts w:hint="default" w:ascii="Times New Roman" w:hAnsi="Times New Roman" w:cs="Times New Roman"/>
                <w:highlight w:val="none"/>
              </w:rPr>
            </w:pP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股份种类</w:t>
            </w:r>
          </w:p>
        </w:tc>
        <w:tc>
          <w:tcPr>
            <w:tcW w:w="1377"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941"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国家能源投资集团有限责任公司</w:t>
            </w:r>
          </w:p>
        </w:tc>
        <w:tc>
          <w:tcPr>
            <w:tcW w:w="3944"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414,441,332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414,441,332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941"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湖北能源集团股份有限公司</w:t>
            </w:r>
          </w:p>
        </w:tc>
        <w:tc>
          <w:tcPr>
            <w:tcW w:w="3944"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41,158,725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41,158,725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941"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何慧清</w:t>
            </w:r>
          </w:p>
        </w:tc>
        <w:tc>
          <w:tcPr>
            <w:tcW w:w="3944"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21,177,700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21,177,700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941"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王梓煜</w:t>
            </w:r>
          </w:p>
        </w:tc>
        <w:tc>
          <w:tcPr>
            <w:tcW w:w="3944"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10,614,500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10,614,500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941"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湖北正源电力集团有限公司</w:t>
            </w:r>
          </w:p>
        </w:tc>
        <w:tc>
          <w:tcPr>
            <w:tcW w:w="3944"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10,006,242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10,006,242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941"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香港中央结算有限公司</w:t>
            </w:r>
          </w:p>
        </w:tc>
        <w:tc>
          <w:tcPr>
            <w:tcW w:w="3944"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8,215,564</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8,215,564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941"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广发证券股份有限公司</w:t>
            </w:r>
          </w:p>
        </w:tc>
        <w:tc>
          <w:tcPr>
            <w:tcW w:w="3944"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4,369,580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4,369,580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941"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万玉梅</w:t>
            </w:r>
          </w:p>
        </w:tc>
        <w:tc>
          <w:tcPr>
            <w:tcW w:w="3944"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3,850,000</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3,850,000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941"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财通基金－协众创新私募证券投资基金－财通基金玉泉协众创新单一资产管理计划</w:t>
            </w:r>
          </w:p>
        </w:tc>
        <w:tc>
          <w:tcPr>
            <w:tcW w:w="3944"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3,826,955</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3,826,955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2941" w:type="dxa"/>
            <w:gridSpan w:val="2"/>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夏海东</w:t>
            </w:r>
          </w:p>
        </w:tc>
        <w:tc>
          <w:tcPr>
            <w:tcW w:w="3944" w:type="dxa"/>
            <w:gridSpan w:val="3"/>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3,277,912</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人民币普通股</w:t>
            </w:r>
          </w:p>
        </w:tc>
        <w:tc>
          <w:tcPr>
            <w:tcW w:w="1377"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3,277,912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上述股东关联关系或一致行动的说明</w:t>
            </w:r>
          </w:p>
        </w:tc>
        <w:tc>
          <w:tcPr>
            <w:tcW w:w="5508" w:type="dxa"/>
            <w:gridSpan w:val="4"/>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国家能源投资集团有限责任公司是湖北能源集团股份有限公司的股东，持股比例为3.23%。除此之外，上述股东之间未知是否存在其它关联关系或属于《上市公司收购管理办法》规定的一致行动人。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4131" w:type="dxa"/>
            <w:gridSpan w:val="3"/>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前10名股东参与融资融券业务情况说明（如有）</w:t>
            </w:r>
          </w:p>
        </w:tc>
        <w:tc>
          <w:tcPr>
            <w:tcW w:w="5508" w:type="dxa"/>
            <w:gridSpan w:val="4"/>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无。</w:t>
            </w:r>
          </w:p>
        </w:tc>
      </w:tr>
    </w:tbl>
    <w:p>
      <w:pPr>
        <w:keepNext/>
        <w:keepLines/>
        <w:spacing w:before="300" w:after="300" w:line="280" w:lineRule="exact"/>
        <w:jc w:val="left"/>
        <w:outlineLvl w:val="1"/>
        <w:rPr>
          <w:rFonts w:hint="default" w:ascii="Times New Roman" w:hAnsi="Times New Roman" w:eastAsia="宋体" w:cs="Times New Roman"/>
          <w:b/>
          <w:bCs/>
          <w:sz w:val="21"/>
          <w:szCs w:val="21"/>
          <w:highlight w:val="none"/>
        </w:rPr>
      </w:pPr>
      <w:bookmarkStart w:id="6" w:name="_Toc988895"/>
      <w:r>
        <w:rPr>
          <w:rFonts w:hint="default" w:ascii="Times New Roman" w:hAnsi="Times New Roman" w:eastAsia="宋体" w:cs="Times New Roman"/>
          <w:b/>
          <w:bCs/>
          <w:sz w:val="21"/>
          <w:szCs w:val="21"/>
          <w:highlight w:val="none"/>
        </w:rPr>
        <w:t>（二） 公司优先股股东总数及前10名优先股股东持股情况表</w:t>
      </w:r>
      <w:bookmarkEnd w:id="6"/>
    </w:p>
    <w:p>
      <w:pPr>
        <w:spacing w:before="40" w:after="40" w:line="240" w:lineRule="exact"/>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□适用 </w:t>
      </w:r>
      <w:r>
        <w:rPr>
          <w:rFonts w:hint="eastAsia" w:asciiTheme="minorEastAsia" w:hAnsiTheme="minorEastAsia" w:eastAsiaTheme="minorEastAsia" w:cstheme="minorEastAsia"/>
          <w:sz w:val="21"/>
          <w:szCs w:val="21"/>
          <w:highlight w:val="none"/>
        </w:rPr>
        <w:sym w:font="Wingdings 2" w:char="F052"/>
      </w:r>
      <w:r>
        <w:rPr>
          <w:rFonts w:hint="eastAsia" w:asciiTheme="minorEastAsia" w:hAnsiTheme="minorEastAsia" w:eastAsiaTheme="minorEastAsia" w:cstheme="minorEastAsia"/>
          <w:sz w:val="21"/>
          <w:szCs w:val="21"/>
          <w:highlight w:val="none"/>
        </w:rPr>
        <w:t>不适用</w:t>
      </w:r>
    </w:p>
    <w:p>
      <w:pPr>
        <w:keepNext/>
        <w:keepLines/>
        <w:spacing w:before="300" w:after="300" w:line="320" w:lineRule="exact"/>
        <w:jc w:val="left"/>
        <w:outlineLvl w:val="0"/>
        <w:rPr>
          <w:rFonts w:hint="default" w:ascii="Times New Roman" w:hAnsi="Times New Roman" w:eastAsia="宋体" w:cs="Times New Roman"/>
          <w:b/>
          <w:bCs/>
          <w:sz w:val="24"/>
          <w:szCs w:val="24"/>
          <w:highlight w:val="none"/>
        </w:rPr>
      </w:pPr>
      <w:bookmarkStart w:id="7" w:name="_Toc988896"/>
      <w:r>
        <w:rPr>
          <w:rFonts w:hint="default" w:ascii="Times New Roman" w:hAnsi="Times New Roman" w:eastAsia="宋体" w:cs="Times New Roman"/>
          <w:b/>
          <w:bCs/>
          <w:sz w:val="24"/>
          <w:szCs w:val="24"/>
          <w:highlight w:val="none"/>
        </w:rPr>
        <w:t>三、其他重要事项</w:t>
      </w:r>
      <w:bookmarkEnd w:id="7"/>
    </w:p>
    <w:p>
      <w:pPr>
        <w:spacing w:before="40" w:after="40" w:line="240" w:lineRule="exact"/>
        <w:jc w:val="left"/>
        <w:rPr>
          <w:rFonts w:hint="default" w:asciiTheme="minorEastAsia" w:hAnsiTheme="minorEastAsia" w:eastAsiaTheme="minorEastAsia" w:cstheme="minorEastAsia"/>
          <w:sz w:val="21"/>
          <w:szCs w:val="21"/>
          <w:highlight w:val="none"/>
        </w:rPr>
      </w:pPr>
      <w:r>
        <w:rPr>
          <w:rFonts w:hint="default" w:asciiTheme="minorEastAsia" w:hAnsiTheme="minorEastAsia" w:eastAsiaTheme="minorEastAsia" w:cstheme="minorEastAsia"/>
          <w:sz w:val="21"/>
          <w:szCs w:val="21"/>
          <w:highlight w:val="none"/>
        </w:rPr>
        <w:sym w:font="Wingdings 2" w:char="F052"/>
      </w:r>
      <w:r>
        <w:rPr>
          <w:rFonts w:hint="default" w:asciiTheme="minorEastAsia" w:hAnsiTheme="minorEastAsia" w:eastAsiaTheme="minorEastAsia" w:cstheme="minorEastAsia"/>
          <w:sz w:val="21"/>
          <w:szCs w:val="21"/>
          <w:highlight w:val="none"/>
        </w:rPr>
        <w:t>适用 □不适用</w:t>
      </w:r>
    </w:p>
    <w:p>
      <w:pPr>
        <w:keepNext w:val="0"/>
        <w:keepLines w:val="0"/>
        <w:widowControl/>
        <w:numPr>
          <w:ilvl w:val="0"/>
          <w:numId w:val="2"/>
        </w:numPr>
        <w:suppressLineNumbers w:val="0"/>
        <w:tabs>
          <w:tab w:val="left" w:pos="1060"/>
        </w:tabs>
        <w:spacing w:before="0" w:beforeAutospacing="0" w:after="0" w:afterAutospacing="0" w:line="380" w:lineRule="exact"/>
        <w:ind w:firstLine="480" w:firstLineChars="200"/>
        <w:rPr>
          <w:rFonts w:hint="default" w:ascii="Times New Roman" w:hAnsi="Times New Roman" w:eastAsia="宋体" w:cs="Times New Roman"/>
          <w:sz w:val="24"/>
          <w:szCs w:val="24"/>
          <w:highlight w:val="none"/>
        </w:rPr>
      </w:pPr>
      <w:r>
        <w:rPr>
          <w:rFonts w:hint="eastAsia" w:cs="Times New Roman"/>
          <w:sz w:val="24"/>
          <w:szCs w:val="24"/>
          <w:highlight w:val="none"/>
          <w:lang w:val="en-US" w:eastAsia="zh-CN"/>
        </w:rPr>
        <w:t xml:space="preserve"> </w:t>
      </w:r>
      <w:r>
        <w:rPr>
          <w:rFonts w:hint="default" w:ascii="Times New Roman" w:hAnsi="Times New Roman" w:eastAsia="宋体" w:cs="Times New Roman"/>
          <w:sz w:val="24"/>
          <w:szCs w:val="24"/>
          <w:highlight w:val="none"/>
        </w:rPr>
        <w:t>报告期内，公司系统安全生产局面稳定，累计完成发电量86.47亿千瓦时，上网电量82.31亿千瓦时，较去年同期分别增长6.37%、5.77%。第二季度公司发电量存在一定不确定性，目前汛期来水情况尚不明朗，如来水偏丰，对火电利用小时将有一定影响。</w:t>
      </w:r>
    </w:p>
    <w:p>
      <w:pPr>
        <w:keepNext w:val="0"/>
        <w:keepLines w:val="0"/>
        <w:widowControl/>
        <w:numPr>
          <w:ilvl w:val="-1"/>
          <w:numId w:val="0"/>
        </w:numPr>
        <w:suppressLineNumbers w:val="0"/>
        <w:tabs>
          <w:tab w:val="left" w:pos="1060"/>
        </w:tabs>
        <w:spacing w:before="0" w:beforeAutospacing="0" w:after="0" w:afterAutospacing="0" w:line="380" w:lineRule="exact"/>
        <w:ind w:firstLine="480" w:firstLineChars="200"/>
        <w:rPr>
          <w:rFonts w:hint="default" w:ascii="Times New Roman" w:hAnsi="Times New Roman" w:eastAsia="宋体" w:cs="Times New Roman"/>
          <w:color w:val="000000"/>
          <w:sz w:val="24"/>
          <w:szCs w:val="24"/>
          <w:highlight w:val="none"/>
        </w:rPr>
      </w:pPr>
      <w:r>
        <w:rPr>
          <w:rFonts w:hint="eastAsia" w:cs="Times New Roman"/>
          <w:sz w:val="24"/>
          <w:szCs w:val="24"/>
          <w:highlight w:val="none"/>
          <w:lang w:val="en-US" w:eastAsia="zh-CN"/>
        </w:rPr>
        <w:t xml:space="preserve">2. </w:t>
      </w:r>
      <w:r>
        <w:rPr>
          <w:rFonts w:hint="default" w:ascii="Times New Roman" w:hAnsi="Times New Roman" w:eastAsia="宋体" w:cs="Times New Roman"/>
          <w:color w:val="000000"/>
          <w:sz w:val="24"/>
          <w:szCs w:val="24"/>
          <w:highlight w:val="none"/>
        </w:rPr>
        <w:t>报告期内，公司未发生对外担保事项，截</w:t>
      </w:r>
      <w:r>
        <w:rPr>
          <w:rFonts w:hint="eastAsia" w:cs="Times New Roman"/>
          <w:color w:val="000000"/>
          <w:sz w:val="24"/>
          <w:szCs w:val="24"/>
          <w:highlight w:val="none"/>
          <w:lang w:val="en-US" w:eastAsia="zh-CN"/>
        </w:rPr>
        <w:t>至</w:t>
      </w:r>
      <w:r>
        <w:rPr>
          <w:rFonts w:hint="default" w:ascii="Times New Roman" w:hAnsi="Times New Roman" w:eastAsia="宋体" w:cs="Times New Roman"/>
          <w:color w:val="000000"/>
          <w:sz w:val="24"/>
          <w:szCs w:val="24"/>
          <w:highlight w:val="none"/>
        </w:rPr>
        <w:t>本报告期末，公司对外担保余额为11,170万元，系公司全资子公司国电湖北电力有限公司对其全资子公司国能长源十堰水电开发有限公司在农行十堰车城支行7,570万元长期借款和工行竹溪支行3,600万元长期借款提供连带责任的保证担保。</w:t>
      </w:r>
    </w:p>
    <w:p>
      <w:pPr>
        <w:keepNext w:val="0"/>
        <w:keepLines w:val="0"/>
        <w:widowControl/>
        <w:numPr>
          <w:ilvl w:val="-1"/>
          <w:numId w:val="0"/>
        </w:numPr>
        <w:suppressLineNumbers w:val="0"/>
        <w:tabs>
          <w:tab w:val="left" w:pos="1060"/>
        </w:tabs>
        <w:spacing w:before="0" w:beforeAutospacing="0" w:after="0" w:afterAutospacing="0" w:line="380" w:lineRule="exact"/>
        <w:ind w:firstLine="480" w:firstLineChars="200"/>
        <w:rPr>
          <w:rFonts w:hint="default" w:ascii="Times New Roman" w:hAnsi="Times New Roman" w:eastAsia="宋体" w:cs="Times New Roman"/>
          <w:i w:val="0"/>
          <w:iCs w:val="0"/>
          <w:caps w:val="0"/>
          <w:color w:val="000000"/>
          <w:spacing w:val="0"/>
          <w:sz w:val="24"/>
          <w:szCs w:val="24"/>
          <w:highlight w:val="none"/>
        </w:rPr>
      </w:pPr>
      <w:r>
        <w:rPr>
          <w:rFonts w:hint="eastAsia" w:cs="Times New Roman"/>
          <w:color w:val="000000"/>
          <w:sz w:val="24"/>
          <w:szCs w:val="24"/>
          <w:highlight w:val="none"/>
          <w:lang w:val="en-US" w:eastAsia="zh-CN"/>
        </w:rPr>
        <w:t xml:space="preserve">3. </w:t>
      </w:r>
      <w:r>
        <w:rPr>
          <w:rFonts w:hint="default" w:ascii="Times New Roman" w:hAnsi="Times New Roman" w:eastAsia="宋体" w:cs="Times New Roman"/>
          <w:i w:val="0"/>
          <w:iCs w:val="0"/>
          <w:caps w:val="0"/>
          <w:color w:val="000000"/>
          <w:spacing w:val="0"/>
          <w:sz w:val="24"/>
          <w:szCs w:val="24"/>
          <w:highlight w:val="none"/>
        </w:rPr>
        <w:t>报告期内，经公开招投标，公司控股子公司国能长源随州发电有限公司将其长源电力随州公司全厂燃料除灰系统运行（三年）项目交由公司关联方</w:t>
      </w:r>
      <w:r>
        <w:rPr>
          <w:rFonts w:hint="default" w:ascii="Times New Roman" w:hAnsi="Times New Roman" w:eastAsia="宋体" w:cs="Times New Roman"/>
          <w:caps w:val="0"/>
          <w:spacing w:val="0"/>
          <w:sz w:val="24"/>
          <w:szCs w:val="24"/>
          <w:highlight w:val="none"/>
        </w:rPr>
        <w:t>国能龙源环保有限公司</w:t>
      </w:r>
      <w:r>
        <w:rPr>
          <w:rFonts w:hint="default" w:ascii="Times New Roman" w:hAnsi="Times New Roman" w:eastAsia="宋体" w:cs="Times New Roman"/>
          <w:i w:val="0"/>
          <w:iCs w:val="0"/>
          <w:caps w:val="0"/>
          <w:color w:val="000000"/>
          <w:spacing w:val="0"/>
          <w:sz w:val="24"/>
          <w:szCs w:val="24"/>
          <w:highlight w:val="none"/>
        </w:rPr>
        <w:t>实施，项目中标金额为1,963.47万元（具体内容详见公司于2023年2月17日在《中国证券报》《证券时报》和巨潮资讯网上披露的《关于控股子公司长源电力随州公司全厂燃料除灰系统运行（三年）项目关联交易的公告》，公告编号：2023-009）。</w:t>
      </w:r>
    </w:p>
    <w:p>
      <w:pPr>
        <w:keepNext w:val="0"/>
        <w:keepLines w:val="0"/>
        <w:widowControl/>
        <w:numPr>
          <w:ilvl w:val="-1"/>
          <w:numId w:val="0"/>
        </w:numPr>
        <w:suppressLineNumbers w:val="0"/>
        <w:tabs>
          <w:tab w:val="left" w:pos="1060"/>
        </w:tabs>
        <w:spacing w:before="0" w:beforeAutospacing="0" w:after="0" w:afterAutospacing="0" w:line="380" w:lineRule="exact"/>
        <w:ind w:firstLine="480" w:firstLineChars="200"/>
        <w:rPr>
          <w:rFonts w:hint="default" w:ascii="Times New Roman" w:hAnsi="Times New Roman" w:eastAsia="宋体" w:cs="Times New Roman"/>
          <w:color w:val="000000"/>
          <w:sz w:val="24"/>
          <w:szCs w:val="24"/>
          <w:highlight w:val="none"/>
        </w:rPr>
      </w:pPr>
      <w:r>
        <w:rPr>
          <w:rFonts w:hint="eastAsia" w:cs="Times New Roman"/>
          <w:i w:val="0"/>
          <w:iCs w:val="0"/>
          <w:caps w:val="0"/>
          <w:color w:val="000000"/>
          <w:spacing w:val="0"/>
          <w:sz w:val="24"/>
          <w:szCs w:val="24"/>
          <w:highlight w:val="none"/>
          <w:lang w:val="en-US" w:eastAsia="zh-CN"/>
        </w:rPr>
        <w:t xml:space="preserve">4. </w:t>
      </w:r>
      <w:r>
        <w:rPr>
          <w:rFonts w:hint="default" w:ascii="Times New Roman" w:hAnsi="Times New Roman" w:eastAsia="宋体" w:cs="Times New Roman"/>
          <w:color w:val="000000"/>
          <w:sz w:val="24"/>
          <w:szCs w:val="24"/>
          <w:highlight w:val="none"/>
        </w:rPr>
        <w:t>报告期内，经公司第十届董事会第十次会议审议通过，公司决定</w:t>
      </w:r>
      <w:r>
        <w:rPr>
          <w:rFonts w:hint="eastAsia" w:ascii="Times New Roman" w:hAnsi="Times New Roman" w:cs="Times New Roman"/>
          <w:color w:val="000000"/>
          <w:sz w:val="24"/>
          <w:szCs w:val="24"/>
          <w:highlight w:val="none"/>
          <w:lang w:eastAsia="zh-CN"/>
        </w:rPr>
        <w:t>以现金方式对公司</w:t>
      </w:r>
      <w:r>
        <w:rPr>
          <w:rFonts w:hint="eastAsia" w:ascii="Times New Roman" w:hAnsi="Times New Roman" w:cs="Times New Roman"/>
          <w:color w:val="000000"/>
          <w:sz w:val="24"/>
          <w:szCs w:val="24"/>
          <w:highlight w:val="none"/>
          <w:lang w:val="en-US" w:eastAsia="zh-CN"/>
        </w:rPr>
        <w:t>全资</w:t>
      </w:r>
      <w:r>
        <w:rPr>
          <w:rFonts w:hint="eastAsia" w:ascii="Times New Roman" w:hAnsi="Times New Roman" w:cs="Times New Roman"/>
          <w:color w:val="000000"/>
          <w:sz w:val="24"/>
          <w:szCs w:val="24"/>
          <w:highlight w:val="none"/>
          <w:lang w:eastAsia="zh-CN"/>
        </w:rPr>
        <w:t>子公司国能长源潜江新能源有限公司增资21</w:t>
      </w:r>
      <w:r>
        <w:rPr>
          <w:rFonts w:hint="eastAsia" w:ascii="Times New Roman" w:hAnsi="Times New Roman" w:cs="Times New Roman"/>
          <w:color w:val="000000"/>
          <w:sz w:val="24"/>
          <w:szCs w:val="24"/>
          <w:highlight w:val="none"/>
          <w:lang w:val="en-US" w:eastAsia="zh-CN"/>
        </w:rPr>
        <w:t>,</w:t>
      </w:r>
      <w:r>
        <w:rPr>
          <w:rFonts w:hint="eastAsia" w:ascii="Times New Roman" w:hAnsi="Times New Roman" w:cs="Times New Roman"/>
          <w:color w:val="000000"/>
          <w:sz w:val="24"/>
          <w:szCs w:val="24"/>
          <w:highlight w:val="none"/>
          <w:lang w:eastAsia="zh-CN"/>
        </w:rPr>
        <w:t>550万元，</w:t>
      </w:r>
      <w:r>
        <w:rPr>
          <w:rFonts w:hint="eastAsia" w:cs="Times New Roman"/>
          <w:color w:val="000000"/>
          <w:sz w:val="24"/>
          <w:szCs w:val="24"/>
          <w:highlight w:val="none"/>
          <w:lang w:val="en-US" w:eastAsia="zh-CN"/>
        </w:rPr>
        <w:t>并以其</w:t>
      </w:r>
      <w:r>
        <w:rPr>
          <w:rFonts w:hint="default" w:ascii="Times New Roman" w:hAnsi="Times New Roman" w:eastAsia="宋体" w:cs="Times New Roman"/>
          <w:color w:val="000000"/>
          <w:sz w:val="24"/>
          <w:szCs w:val="24"/>
          <w:highlight w:val="none"/>
        </w:rPr>
        <w:t>为主体投资建设国能长源潜江浩口200MW渔光互补光伏发电项目，项目规划装机容量20万千瓦（具体</w:t>
      </w:r>
      <w:r>
        <w:rPr>
          <w:rFonts w:hint="eastAsia" w:cs="Times New Roman"/>
          <w:color w:val="000000"/>
          <w:sz w:val="24"/>
          <w:szCs w:val="24"/>
          <w:highlight w:val="none"/>
          <w:lang w:val="en-US" w:eastAsia="zh-CN"/>
        </w:rPr>
        <w:t>内容</w:t>
      </w:r>
      <w:r>
        <w:rPr>
          <w:rFonts w:hint="default" w:ascii="Times New Roman" w:hAnsi="Times New Roman" w:eastAsia="宋体" w:cs="Times New Roman"/>
          <w:color w:val="000000"/>
          <w:sz w:val="24"/>
          <w:szCs w:val="24"/>
          <w:highlight w:val="none"/>
        </w:rPr>
        <w:t>详见公司于2023年3月23日在《中国证券报》《证券时报》和巨潮资讯网上披露的《关于增资全资子公司并投资建设国能长源潜江浩口200MW渔光互补光伏发电项目的公告》，公告编号：2023-018）。</w:t>
      </w:r>
    </w:p>
    <w:p>
      <w:pPr>
        <w:keepNext w:val="0"/>
        <w:keepLines w:val="0"/>
        <w:widowControl/>
        <w:numPr>
          <w:ilvl w:val="-1"/>
          <w:numId w:val="0"/>
        </w:numPr>
        <w:suppressLineNumbers w:val="0"/>
        <w:tabs>
          <w:tab w:val="left" w:pos="1060"/>
        </w:tabs>
        <w:spacing w:before="0" w:beforeAutospacing="0" w:after="0" w:afterAutospacing="0" w:line="380" w:lineRule="exact"/>
        <w:ind w:firstLine="480" w:firstLineChars="200"/>
        <w:rPr>
          <w:rFonts w:hint="default" w:ascii="Times New Roman" w:hAnsi="Times New Roman" w:eastAsia="宋体" w:cs="Times New Roman"/>
          <w:color w:val="000000"/>
          <w:sz w:val="24"/>
          <w:szCs w:val="24"/>
          <w:highlight w:val="none"/>
        </w:rPr>
      </w:pPr>
      <w:r>
        <w:rPr>
          <w:rFonts w:hint="eastAsia" w:cs="Times New Roman"/>
          <w:color w:val="000000"/>
          <w:sz w:val="24"/>
          <w:szCs w:val="24"/>
          <w:highlight w:val="none"/>
          <w:lang w:val="en-US" w:eastAsia="zh-CN"/>
        </w:rPr>
        <w:t xml:space="preserve">5. </w:t>
      </w:r>
      <w:r>
        <w:rPr>
          <w:rFonts w:hint="default" w:ascii="Times New Roman" w:hAnsi="Times New Roman" w:eastAsia="宋体" w:cs="Times New Roman"/>
          <w:color w:val="000000"/>
          <w:sz w:val="24"/>
          <w:szCs w:val="24"/>
          <w:highlight w:val="none"/>
        </w:rPr>
        <w:t>报告期内，</w:t>
      </w:r>
      <w:r>
        <w:rPr>
          <w:rFonts w:hint="default" w:ascii="Times New Roman" w:hAnsi="Times New Roman" w:eastAsia="宋体" w:cs="Times New Roman"/>
          <w:sz w:val="24"/>
          <w:szCs w:val="24"/>
          <w:highlight w:val="none"/>
        </w:rPr>
        <w:t>公司董事会收到董事长赵虎先生和副总经理任德军先生的书面辞职报告。因年龄原因，赵虎先生辞去公司董事长、董事职务，任德军先生辞去公司副总经理职务。</w:t>
      </w:r>
      <w:r>
        <w:rPr>
          <w:rFonts w:hint="default" w:ascii="Times New Roman" w:hAnsi="Times New Roman" w:eastAsia="宋体" w:cs="Times New Roman"/>
          <w:b w:val="0"/>
          <w:bCs w:val="0"/>
          <w:color w:val="000000"/>
          <w:sz w:val="24"/>
          <w:szCs w:val="24"/>
          <w:highlight w:val="none"/>
        </w:rPr>
        <w:t>赵虎先生和任德军先生辞职后，仍将在公司担任其他职务</w:t>
      </w:r>
      <w:r>
        <w:rPr>
          <w:rFonts w:hint="default" w:ascii="Times New Roman" w:hAnsi="Times New Roman" w:eastAsia="宋体" w:cs="Times New Roman"/>
          <w:color w:val="000000"/>
          <w:sz w:val="24"/>
          <w:szCs w:val="24"/>
          <w:highlight w:val="none"/>
        </w:rPr>
        <w:t>。经公司第十届董事会第十一次会议及</w:t>
      </w:r>
      <w:r>
        <w:rPr>
          <w:rFonts w:hint="default" w:ascii="Times New Roman" w:hAnsi="Times New Roman" w:eastAsia="宋体" w:cs="Times New Roman"/>
          <w:b w:val="0"/>
          <w:bCs w:val="0"/>
          <w:color w:val="000000"/>
          <w:sz w:val="24"/>
          <w:szCs w:val="24"/>
          <w:highlight w:val="none"/>
        </w:rPr>
        <w:t>2023年第二次临时股东大会</w:t>
      </w:r>
      <w:r>
        <w:rPr>
          <w:rFonts w:hint="default" w:ascii="Times New Roman" w:hAnsi="Times New Roman" w:eastAsia="宋体" w:cs="Times New Roman"/>
          <w:color w:val="000000"/>
          <w:sz w:val="24"/>
          <w:szCs w:val="24"/>
          <w:highlight w:val="none"/>
        </w:rPr>
        <w:t>审议通过，公司</w:t>
      </w:r>
      <w:r>
        <w:rPr>
          <w:rFonts w:hint="default" w:ascii="Times New Roman" w:hAnsi="Times New Roman" w:eastAsia="宋体" w:cs="Times New Roman"/>
          <w:b w:val="0"/>
          <w:bCs w:val="0"/>
          <w:color w:val="000000"/>
          <w:sz w:val="24"/>
          <w:szCs w:val="24"/>
          <w:highlight w:val="none"/>
        </w:rPr>
        <w:t>选举王冬先生为公司非独立董事。</w:t>
      </w:r>
      <w:r>
        <w:rPr>
          <w:rFonts w:hint="default" w:ascii="Times New Roman" w:hAnsi="Times New Roman" w:eastAsia="宋体" w:cs="Times New Roman"/>
          <w:color w:val="000000"/>
          <w:sz w:val="24"/>
          <w:szCs w:val="24"/>
          <w:highlight w:val="none"/>
        </w:rPr>
        <w:t>经公司第十届董事会第十二次会议审议通过，公司</w:t>
      </w:r>
      <w:r>
        <w:rPr>
          <w:rFonts w:hint="default" w:ascii="Times New Roman" w:hAnsi="Times New Roman" w:eastAsia="宋体" w:cs="Times New Roman"/>
          <w:b w:val="0"/>
          <w:bCs w:val="0"/>
          <w:color w:val="000000"/>
          <w:sz w:val="24"/>
          <w:szCs w:val="24"/>
          <w:highlight w:val="none"/>
        </w:rPr>
        <w:t>选举王冬先生为公司董事长，</w:t>
      </w:r>
      <w:r>
        <w:rPr>
          <w:rFonts w:hint="default" w:ascii="Times New Roman" w:hAnsi="Times New Roman" w:eastAsia="宋体" w:cs="Times New Roman"/>
          <w:color w:val="000000"/>
          <w:sz w:val="24"/>
          <w:szCs w:val="24"/>
          <w:highlight w:val="none"/>
        </w:rPr>
        <w:t>任期自本次董事会审议通过之日起至本届董事会任期届满之日止（具体内容详见公司于2023年3月25日、4月6日、4月22日在《中国证券报》《证券时报》和巨潮资讯网上披露的有关公告，公告编号：2023-020、022、</w:t>
      </w:r>
      <w:r>
        <w:rPr>
          <w:rFonts w:hint="eastAsia" w:cs="Times New Roman"/>
          <w:color w:val="000000"/>
          <w:sz w:val="24"/>
          <w:szCs w:val="24"/>
          <w:highlight w:val="none"/>
          <w:lang w:val="en-US" w:eastAsia="zh-CN"/>
        </w:rPr>
        <w:t>027、028</w:t>
      </w:r>
      <w:r>
        <w:rPr>
          <w:rFonts w:hint="default" w:ascii="Times New Roman" w:hAnsi="Times New Roman" w:eastAsia="宋体" w:cs="Times New Roman"/>
          <w:color w:val="000000"/>
          <w:sz w:val="24"/>
          <w:szCs w:val="24"/>
          <w:highlight w:val="none"/>
        </w:rPr>
        <w:t>）。</w:t>
      </w:r>
    </w:p>
    <w:p>
      <w:pPr>
        <w:keepNext w:val="0"/>
        <w:keepLines w:val="0"/>
        <w:widowControl/>
        <w:numPr>
          <w:ilvl w:val="-1"/>
          <w:numId w:val="0"/>
        </w:numPr>
        <w:suppressLineNumbers w:val="0"/>
        <w:tabs>
          <w:tab w:val="left" w:pos="1060"/>
        </w:tabs>
        <w:spacing w:before="0" w:beforeAutospacing="0" w:after="0" w:afterAutospacing="0" w:line="380" w:lineRule="exact"/>
        <w:ind w:firstLine="480" w:firstLineChars="200"/>
        <w:rPr>
          <w:rFonts w:hint="default" w:ascii="Times New Roman" w:hAnsi="Times New Roman" w:cs="Times New Roman"/>
          <w:highlight w:val="none"/>
        </w:rPr>
      </w:pPr>
      <w:r>
        <w:rPr>
          <w:rFonts w:hint="eastAsia" w:cs="Times New Roman"/>
          <w:color w:val="000000"/>
          <w:sz w:val="24"/>
          <w:szCs w:val="24"/>
          <w:highlight w:val="none"/>
          <w:lang w:val="en-US" w:eastAsia="zh-CN"/>
        </w:rPr>
        <w:t xml:space="preserve">6. </w:t>
      </w:r>
      <w:r>
        <w:rPr>
          <w:rFonts w:hint="default" w:ascii="Times New Roman" w:hAnsi="Times New Roman" w:eastAsia="宋体" w:cs="Times New Roman"/>
          <w:sz w:val="24"/>
          <w:szCs w:val="24"/>
          <w:highlight w:val="none"/>
        </w:rPr>
        <w:t>公司聘请天风证券股份有限公司（以下简称天风证券）担任公司发行股份及支付现金购买资产并募集配套资金暨关联交易（以下简称本次重组）的独立财务顾问之一。天风证券委派熊宇巍先生、李虎先生为本次重组的独立财务顾问主办人。报告期内，公司收到天风证券出具的《关于更换国家能源集团长源电力股份有限公司持续督导独立财务顾问主办人的通知函》，原独立财务顾问主办人李虎先生因工作变动，不再担任本次重组的独立财务顾问主办人。天风证券委派樊启昶先生担任本次重组的持续督导独立财务顾问主办人，继续履行相关督导职责</w:t>
      </w:r>
      <w:r>
        <w:rPr>
          <w:rFonts w:hint="default" w:ascii="Times New Roman" w:hAnsi="Times New Roman" w:eastAsia="宋体" w:cs="Times New Roman"/>
          <w:color w:val="000000"/>
          <w:sz w:val="24"/>
          <w:szCs w:val="24"/>
          <w:highlight w:val="none"/>
        </w:rPr>
        <w:t>（具体情况详见公司于2023年3月29日在《中国证券报》《证券时报》和巨潮资讯网上披露的《关于独立财务顾问主办人变动的公告》，公告编号：2023-021）。</w:t>
      </w:r>
    </w:p>
    <w:p>
      <w:pPr>
        <w:keepNext/>
        <w:keepLines/>
        <w:spacing w:before="300" w:after="300" w:line="320" w:lineRule="exact"/>
        <w:jc w:val="left"/>
        <w:outlineLvl w:val="0"/>
        <w:rPr>
          <w:rFonts w:hint="default" w:ascii="Times New Roman" w:hAnsi="Times New Roman" w:eastAsia="宋体" w:cs="Times New Roman"/>
          <w:b/>
          <w:bCs/>
          <w:sz w:val="24"/>
          <w:szCs w:val="24"/>
          <w:highlight w:val="none"/>
        </w:rPr>
      </w:pPr>
      <w:bookmarkStart w:id="8" w:name="_Toc988897"/>
      <w:r>
        <w:rPr>
          <w:rFonts w:hint="default" w:ascii="Times New Roman" w:hAnsi="Times New Roman" w:eastAsia="宋体" w:cs="Times New Roman"/>
          <w:b/>
          <w:bCs/>
          <w:sz w:val="24"/>
          <w:szCs w:val="24"/>
          <w:highlight w:val="none"/>
        </w:rPr>
        <w:t>四、季度财务报表</w:t>
      </w:r>
      <w:bookmarkEnd w:id="8"/>
    </w:p>
    <w:p>
      <w:pPr>
        <w:keepNext/>
        <w:keepLines/>
        <w:spacing w:before="300" w:after="300" w:line="280" w:lineRule="exact"/>
        <w:jc w:val="left"/>
        <w:outlineLvl w:val="1"/>
        <w:rPr>
          <w:rFonts w:hint="default" w:ascii="Times New Roman" w:hAnsi="Times New Roman" w:eastAsia="宋体" w:cs="Times New Roman"/>
          <w:b/>
          <w:bCs/>
          <w:sz w:val="21"/>
          <w:szCs w:val="21"/>
          <w:highlight w:val="none"/>
        </w:rPr>
      </w:pPr>
      <w:bookmarkStart w:id="9" w:name="_Toc988898"/>
      <w:r>
        <w:rPr>
          <w:rFonts w:hint="default" w:ascii="Times New Roman" w:hAnsi="Times New Roman" w:eastAsia="宋体" w:cs="Times New Roman"/>
          <w:b/>
          <w:bCs/>
          <w:sz w:val="21"/>
          <w:szCs w:val="21"/>
          <w:highlight w:val="none"/>
        </w:rPr>
        <w:t>（一） 财务报表</w:t>
      </w:r>
      <w:bookmarkEnd w:id="9"/>
    </w:p>
    <w:p>
      <w:pPr>
        <w:keepNext/>
        <w:keepLines/>
        <w:spacing w:before="300" w:after="300" w:line="280" w:lineRule="exact"/>
        <w:jc w:val="left"/>
        <w:outlineLvl w:val="2"/>
        <w:rPr>
          <w:rFonts w:hint="default" w:ascii="Times New Roman" w:hAnsi="Times New Roman" w:eastAsia="宋体" w:cs="Times New Roman"/>
          <w:b/>
          <w:bCs/>
          <w:sz w:val="21"/>
          <w:szCs w:val="21"/>
          <w:highlight w:val="none"/>
        </w:rPr>
      </w:pPr>
      <w:bookmarkStart w:id="10" w:name="_Toc988899"/>
      <w:r>
        <w:rPr>
          <w:rFonts w:hint="default" w:ascii="Times New Roman" w:hAnsi="Times New Roman" w:eastAsia="宋体" w:cs="Times New Roman"/>
          <w:b/>
          <w:bCs/>
          <w:sz w:val="21"/>
          <w:szCs w:val="21"/>
          <w:highlight w:val="none"/>
        </w:rPr>
        <w:t>1、合并资产负债表</w:t>
      </w:r>
      <w:bookmarkEnd w:id="10"/>
    </w:p>
    <w:p>
      <w:pPr>
        <w:spacing w:before="0" w:after="0" w:line="240" w:lineRule="exact"/>
        <w:jc w:val="left"/>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编制单位：国家能源集团长源电力股份有限公司</w:t>
      </w:r>
    </w:p>
    <w:p>
      <w:pPr>
        <w:spacing w:before="0" w:after="0" w:line="240" w:lineRule="exact"/>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2023年03月31日</w:t>
      </w:r>
    </w:p>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单位：元</w:t>
      </w:r>
    </w:p>
    <w:tbl>
      <w:tblPr>
        <w:tblStyle w:val="3"/>
        <w:tblW w:w="9639"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期末余额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年初余额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highlight w:val="none"/>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货币资金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249,074,580.77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285,141,164.14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结算备付金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拆出资金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交易性金融资产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衍生金融资产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应收票据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25,763,510.80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213,247,017.17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应收账款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1,651,673,514.16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i w:val="0"/>
                <w:caps w:val="0"/>
                <w:color w:val="auto"/>
                <w:spacing w:val="0"/>
                <w:sz w:val="18"/>
                <w:szCs w:val="18"/>
                <w:highlight w:val="none"/>
                <w:shd w:val="clear" w:fill="auto"/>
              </w:rPr>
              <w:t>1,959,551,917.71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应收款项融资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预付款项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731,123,141.20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474,434,883.33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eastAsia" w:cs="Times New Roman"/>
                <w:sz w:val="18"/>
                <w:szCs w:val="18"/>
                <w:highlight w:val="none"/>
                <w:lang w:eastAsia="zh-CN"/>
              </w:rPr>
              <w:t>·</w:t>
            </w:r>
            <w:r>
              <w:rPr>
                <w:rFonts w:hint="default" w:ascii="Times New Roman" w:hAnsi="Times New Roman" w:eastAsia="宋体" w:cs="Times New Roman"/>
                <w:sz w:val="18"/>
                <w:szCs w:val="18"/>
                <w:highlight w:val="none"/>
              </w:rPr>
              <w:t>应收保费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应收分保账款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应收分保合同准备金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其他应收款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122,957,858.99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i w:val="0"/>
                <w:caps w:val="0"/>
                <w:color w:val="auto"/>
                <w:spacing w:val="0"/>
                <w:sz w:val="18"/>
                <w:szCs w:val="18"/>
                <w:highlight w:val="none"/>
                <w:shd w:val="clear" w:fill="auto"/>
              </w:rPr>
              <w:t>46,773,650.28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其中：应收利息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i w:val="0"/>
                <w:caps w:val="0"/>
                <w:color w:val="auto"/>
                <w:spacing w:val="0"/>
                <w:sz w:val="18"/>
                <w:szCs w:val="18"/>
                <w:highlight w:val="none"/>
                <w:shd w:val="clear" w:fill="auto"/>
              </w:rPr>
              <w:t>144,800.58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应收股利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买入返售金融资产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存货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480,318,751.00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566,837,393.30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合同资产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持有待售资产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一年内到期的非流动资产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其他流动资产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470,606,069.46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i w:val="0"/>
                <w:caps w:val="0"/>
                <w:color w:val="auto"/>
                <w:spacing w:val="0"/>
                <w:sz w:val="18"/>
                <w:szCs w:val="18"/>
                <w:highlight w:val="none"/>
                <w:shd w:val="clear" w:fill="auto"/>
              </w:rPr>
              <w:t>435,143,187.50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3,731,517,426.38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i w:val="0"/>
                <w:caps w:val="0"/>
                <w:color w:val="auto"/>
                <w:spacing w:val="0"/>
                <w:sz w:val="18"/>
                <w:szCs w:val="18"/>
                <w:highlight w:val="none"/>
                <w:shd w:val="clear" w:fill="auto"/>
              </w:rPr>
              <w:t>3,981,129,213.43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非流动资产：</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highlight w:val="none"/>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right"/>
              <w:rPr>
                <w:rFonts w:hint="default" w:ascii="Times New Roman" w:hAnsi="Times New Roman"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发放贷款和垫款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其他债权投资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长期应收款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长期股权投资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282,868,976.40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285,653,125.08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其他权益工具投资</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45,666,892.87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45,666,892.87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其他非流动金融资产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投资性房地产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106,073,116.17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107,216,172.56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固定资产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15,154,398,752.43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14,986,520,612.44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在建工程</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8,639,254,477.12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 xml:space="preserve">  7,607,428,321.19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生产性生物资产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油气资产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使用权资产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380,408,303.39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386,604,747.55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无形资产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628,329,593.34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631,645,537.35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开发支出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商誉</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838,524,950.63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838,524,950.63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长期待摊费用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46,256,224.99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47,014,635.39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递延所得税资产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164,386,831.57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153,110,888.70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其他非流动资产</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1,789,444,262.76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cs="Times New Roman"/>
                <w:sz w:val="18"/>
                <w:szCs w:val="18"/>
                <w:highlight w:val="none"/>
              </w:rPr>
              <w:t>1,763,547,587.33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非流动资产合计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28,075,612,381.67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26,852,933,471.09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资产总计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31,807,129,808.05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i w:val="0"/>
                <w:caps w:val="0"/>
                <w:color w:val="auto"/>
                <w:spacing w:val="0"/>
                <w:sz w:val="18"/>
                <w:szCs w:val="18"/>
                <w:highlight w:val="none"/>
                <w:shd w:val="clear" w:fill="auto"/>
              </w:rPr>
              <w:t>30,834,062,684.52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highlight w:val="none"/>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right"/>
              <w:rPr>
                <w:rFonts w:hint="default" w:ascii="Times New Roman" w:hAnsi="Times New Roman"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短期借款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5,013,434,715.26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5,475,327,685.10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向中央银行借款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拆入资金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交易性金融负债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衍生金融负债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应付票据</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777,461,101.85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1,092,527,428.54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应付账款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1,519,978,322.27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i w:val="0"/>
                <w:caps w:val="0"/>
                <w:color w:val="auto"/>
                <w:spacing w:val="0"/>
                <w:sz w:val="18"/>
                <w:szCs w:val="18"/>
                <w:highlight w:val="none"/>
                <w:shd w:val="clear" w:fill="auto"/>
              </w:rPr>
              <w:t>1,478,631,313.52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预收款项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1,630,552.00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1,605,195.69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合同负债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99,925,453.87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46,534,556.59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卖出回购金融资产款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吸收存款及同业存放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代理买卖证券款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代理承销证券款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108,744,862.78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87,155,001.23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应交税费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230,033,868.40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i w:val="0"/>
                <w:caps w:val="0"/>
                <w:color w:val="auto"/>
                <w:spacing w:val="0"/>
                <w:sz w:val="18"/>
                <w:szCs w:val="18"/>
                <w:highlight w:val="none"/>
                <w:shd w:val="clear" w:fill="auto"/>
              </w:rPr>
              <w:t>209,021,515.27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其他应付款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540,798,110.24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i w:val="0"/>
                <w:caps w:val="0"/>
                <w:color w:val="auto"/>
                <w:spacing w:val="0"/>
                <w:sz w:val="18"/>
                <w:szCs w:val="18"/>
                <w:highlight w:val="none"/>
                <w:shd w:val="clear" w:fill="auto"/>
              </w:rPr>
              <w:t>554,501,918.24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其中：应付利息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应付股利</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676,156.12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i w:val="0"/>
                <w:caps w:val="0"/>
                <w:color w:val="auto"/>
                <w:spacing w:val="0"/>
                <w:sz w:val="18"/>
                <w:szCs w:val="18"/>
                <w:highlight w:val="none"/>
                <w:shd w:val="clear" w:fill="auto"/>
              </w:rPr>
              <w:t>676,156.12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应付手续费及佣金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应付分保账款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持有待售负债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一年内到期的非流动负债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1,197,689,930.32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1,894,993,779.87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其他流动负债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3,592,174.98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4,722,188.97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9,493,289,091.97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i w:val="0"/>
                <w:caps w:val="0"/>
                <w:color w:val="auto"/>
                <w:spacing w:val="0"/>
                <w:sz w:val="18"/>
                <w:szCs w:val="18"/>
                <w:highlight w:val="none"/>
                <w:shd w:val="clear" w:fill="auto"/>
              </w:rPr>
              <w:t>10,845,020,583.02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非流动负债：</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highlight w:val="none"/>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right"/>
              <w:rPr>
                <w:rFonts w:hint="default" w:ascii="Times New Roman" w:hAnsi="Times New Roman"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保险合同准备金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长期借款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11,674,824,843.23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9,626,594,805.23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应付债券</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租赁负债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305,573,725.71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304,163,710.36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长期应付款</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11,603,046.54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11,603,046.54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长期应付职工薪酬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预计负债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递延收益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156,408,054.60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157,294,530.74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递延所得税负债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55,792,864.15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36,441,974.31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其他非流动负债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非流动负债合计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12,204,202,534.23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10,136,098,067.18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负债合计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21,697,491,626.20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i w:val="0"/>
                <w:caps w:val="0"/>
                <w:color w:val="auto"/>
                <w:spacing w:val="0"/>
                <w:sz w:val="18"/>
                <w:szCs w:val="18"/>
                <w:highlight w:val="none"/>
                <w:shd w:val="clear" w:fill="auto"/>
              </w:rPr>
              <w:t>20,981,118,650.20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所有者权益：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highlight w:val="none"/>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line="240" w:lineRule="exact"/>
              <w:jc w:val="right"/>
              <w:rPr>
                <w:rFonts w:hint="default" w:ascii="Times New Roman" w:hAnsi="Times New Roman"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股本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2,749,327,699.00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2,749,327,699.00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其他权益工具</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其中：优先股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900" w:firstLineChars="5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永续债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资本公积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3,246,387,377.34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3,246,387,377.34</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减：库存股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-26,394,967.61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-26,394,967.61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专项储备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33,061,903.81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3,303,598.58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盈余公积</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233,665,645.52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233,665,645.52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一般风险准备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未分配利润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3,609,734,388.96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3,388,241,776.30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归属于母公司所有者权益合计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9,845,782,047.02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9,594,531,129.13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少数股东权益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263,856,134.83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258,412,905.19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所有者权益合计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10,109,638,181.85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9,852,944,034.32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负债和所有者权益总计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31,807,129,808.05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i w:val="0"/>
                <w:caps w:val="0"/>
                <w:color w:val="auto"/>
                <w:spacing w:val="0"/>
                <w:sz w:val="18"/>
                <w:szCs w:val="18"/>
                <w:highlight w:val="none"/>
                <w:shd w:val="clear" w:fill="auto"/>
              </w:rPr>
              <w:t>30,834,062,684.52</w:t>
            </w:r>
          </w:p>
        </w:tc>
      </w:tr>
    </w:tbl>
    <w:p>
      <w:pPr>
        <w:keepNext w:val="0"/>
        <w:keepLines w:val="0"/>
        <w:pageBreakBefore w:val="0"/>
        <w:widowControl w:val="0"/>
        <w:kinsoku/>
        <w:wordWrap/>
        <w:overflowPunct/>
        <w:topLinePunct w:val="0"/>
        <w:autoSpaceDE/>
        <w:autoSpaceDN/>
        <w:bidi w:val="0"/>
        <w:adjustRightInd/>
        <w:snapToGrid/>
        <w:spacing w:before="157" w:beforeLines="50" w:after="0" w:line="240" w:lineRule="exact"/>
        <w:jc w:val="left"/>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法定代表人：王</w:t>
      </w:r>
      <w:r>
        <w:rPr>
          <w:rFonts w:hint="eastAsia" w:cs="Times New Roman"/>
          <w:sz w:val="18"/>
          <w:szCs w:val="18"/>
          <w:highlight w:val="none"/>
          <w:lang w:val="en-US" w:eastAsia="zh-CN"/>
        </w:rPr>
        <w:t xml:space="preserve">  冬</w:t>
      </w:r>
      <w:r>
        <w:rPr>
          <w:rFonts w:hint="default" w:ascii="Times New Roman" w:hAnsi="Times New Roman" w:eastAsia="宋体" w:cs="Times New Roman"/>
          <w:sz w:val="18"/>
          <w:szCs w:val="18"/>
          <w:highlight w:val="none"/>
        </w:rPr>
        <w:t xml:space="preserve">    </w:t>
      </w:r>
      <w:r>
        <w:rPr>
          <w:rFonts w:hint="eastAsia" w:cs="Times New Roman"/>
          <w:sz w:val="18"/>
          <w:szCs w:val="18"/>
          <w:highlight w:val="none"/>
          <w:lang w:val="en-US" w:eastAsia="zh-CN"/>
        </w:rPr>
        <w:t xml:space="preserve">                    </w:t>
      </w:r>
      <w:r>
        <w:rPr>
          <w:rFonts w:hint="default" w:ascii="Times New Roman" w:hAnsi="Times New Roman" w:eastAsia="宋体" w:cs="Times New Roman"/>
          <w:sz w:val="18"/>
          <w:szCs w:val="18"/>
          <w:highlight w:val="none"/>
        </w:rPr>
        <w:t>主管会计工作负责人：朱</w:t>
      </w:r>
      <w:r>
        <w:rPr>
          <w:rFonts w:hint="eastAsia" w:cs="Times New Roman"/>
          <w:sz w:val="18"/>
          <w:szCs w:val="18"/>
          <w:highlight w:val="none"/>
          <w:lang w:val="en-US" w:eastAsia="zh-CN"/>
        </w:rPr>
        <w:t xml:space="preserve">  </w:t>
      </w:r>
      <w:r>
        <w:rPr>
          <w:rFonts w:hint="default" w:ascii="Times New Roman" w:hAnsi="Times New Roman" w:eastAsia="宋体" w:cs="Times New Roman"/>
          <w:sz w:val="18"/>
          <w:szCs w:val="18"/>
          <w:highlight w:val="none"/>
        </w:rPr>
        <w:t xml:space="preserve">虹      </w:t>
      </w:r>
      <w:r>
        <w:rPr>
          <w:rFonts w:hint="eastAsia" w:cs="Times New Roman"/>
          <w:sz w:val="18"/>
          <w:szCs w:val="18"/>
          <w:highlight w:val="none"/>
          <w:lang w:val="en-US" w:eastAsia="zh-CN"/>
        </w:rPr>
        <w:t xml:space="preserve">                </w:t>
      </w:r>
      <w:r>
        <w:rPr>
          <w:rFonts w:hint="default" w:ascii="Times New Roman" w:hAnsi="Times New Roman" w:eastAsia="宋体" w:cs="Times New Roman"/>
          <w:sz w:val="18"/>
          <w:szCs w:val="18"/>
          <w:highlight w:val="none"/>
        </w:rPr>
        <w:t>会计机构负责人：张</w:t>
      </w:r>
      <w:r>
        <w:rPr>
          <w:rFonts w:hint="eastAsia" w:cs="Times New Roman"/>
          <w:sz w:val="18"/>
          <w:szCs w:val="18"/>
          <w:highlight w:val="none"/>
          <w:lang w:val="en-US" w:eastAsia="zh-CN"/>
        </w:rPr>
        <w:t xml:space="preserve">  </w:t>
      </w:r>
      <w:r>
        <w:rPr>
          <w:rFonts w:hint="default" w:ascii="Times New Roman" w:hAnsi="Times New Roman" w:eastAsia="宋体" w:cs="Times New Roman"/>
          <w:sz w:val="18"/>
          <w:szCs w:val="18"/>
          <w:highlight w:val="none"/>
        </w:rPr>
        <w:t>征</w:t>
      </w:r>
    </w:p>
    <w:p>
      <w:pPr>
        <w:keepNext/>
        <w:keepLines/>
        <w:spacing w:before="300" w:after="300" w:line="280" w:lineRule="exact"/>
        <w:jc w:val="left"/>
        <w:outlineLvl w:val="2"/>
        <w:rPr>
          <w:rFonts w:hint="default" w:ascii="Times New Roman" w:hAnsi="Times New Roman" w:eastAsia="宋体" w:cs="Times New Roman"/>
          <w:b/>
          <w:bCs/>
          <w:sz w:val="21"/>
          <w:szCs w:val="21"/>
          <w:highlight w:val="none"/>
        </w:rPr>
      </w:pPr>
      <w:bookmarkStart w:id="11" w:name="_Toc988900"/>
      <w:r>
        <w:rPr>
          <w:rFonts w:hint="default" w:ascii="Times New Roman" w:hAnsi="Times New Roman" w:eastAsia="宋体" w:cs="Times New Roman"/>
          <w:b/>
          <w:bCs/>
          <w:sz w:val="21"/>
          <w:szCs w:val="21"/>
          <w:highlight w:val="none"/>
        </w:rPr>
        <w:t>2、合并利润表</w:t>
      </w:r>
      <w:bookmarkEnd w:id="11"/>
    </w:p>
    <w:p>
      <w:pPr>
        <w:spacing w:before="40" w:after="4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单位：元</w:t>
      </w:r>
    </w:p>
    <w:tbl>
      <w:tblPr>
        <w:tblStyle w:val="3"/>
        <w:tblW w:w="9639"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一、营业总收入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3,923,397,781.52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3,669,332,673.53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其中：营业收入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3,923,397,781.52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3,669,332,673.53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720" w:firstLineChars="4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720" w:firstLineChars="4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已赚保费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720" w:firstLineChars="4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手续费及佣金收入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二、营业总成本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3,596,432,453.18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3,541,986,999.03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其中：营业成本</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3,465,483,412.35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3,408,160,029.49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利息支出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手续费及佣金支出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退保金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赔付支出净额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提取保险责任准备金净额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保单红利支出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分保费用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720" w:firstLineChars="4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税金及附加</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21,743,838.22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14,524,874.23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销售费用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管理费用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27,702,122.86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26,094,993.67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研发费用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63,716.77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2,588,970.88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720" w:firstLineChars="4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财务费用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81,439,362.98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90,618,130.76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其中：利息费用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8</w:t>
            </w:r>
            <w:r>
              <w:rPr>
                <w:rFonts w:hint="eastAsia" w:cs="Times New Roman"/>
                <w:sz w:val="18"/>
                <w:szCs w:val="18"/>
                <w:highlight w:val="none"/>
                <w:lang w:val="en-US" w:eastAsia="zh-CN"/>
              </w:rPr>
              <w:t>0</w:t>
            </w:r>
            <w:bookmarkStart w:id="14" w:name="_GoBack"/>
            <w:bookmarkEnd w:id="14"/>
            <w:r>
              <w:rPr>
                <w:rFonts w:hint="default" w:ascii="Times New Roman" w:hAnsi="Times New Roman" w:eastAsia="宋体" w:cs="Times New Roman"/>
                <w:sz w:val="18"/>
                <w:szCs w:val="18"/>
                <w:highlight w:val="none"/>
              </w:rPr>
              <w:t>,182,789.75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88,793,578.13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440" w:firstLineChars="8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利息收入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417,423.52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763,224.16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加：其他收益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1,681,157.02</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1,475,748.68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投资收益（损失以“－”号填列）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-2,784,148.68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4,552,775.32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900" w:firstLineChars="5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其中：对联营企业和合营企业的投资收益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-2,784,148.68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4,552,775.32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440" w:firstLineChars="8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以摊余成本计量的金融资产终止确认收益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汇兑收益（损失以“-”号填列）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净敞口套期收益（损失以“－”号填列）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540" w:firstLineChars="3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公允价值变动收益（损失以“－”号填列）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信用减值损失（损失以“-”号填列）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资产减值损失（损失以“-”号填列）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67,334.52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资产处置收益（损失以“-”号填列）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5,167.60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三、营业利润（亏损以“－”填列）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325,867,504.28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133,441,533.02</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加：营业外收入</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1,142,096.01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1,432,808.38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减：营业外支出</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46,986.60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四、利润总额（亏损总额以“－”填列）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327,009,600.29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134,827,354.80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减：所得税费用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100,447,621.96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53,616,791.89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五、净利润（净亏损以“－”号填列）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226,561,978.33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81,210,562.91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（一）按经营持续性分类</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highlight w:val="none"/>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1.持续经营净利润（净亏损以“－”号填列）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226,561,978.33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81,210,562.91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2.终止经营净利润（净亏损以“－”号填列）</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（二）按所有权归属分类</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highlight w:val="none"/>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1.归属于母公司所有者的净利润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221,492,612.67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79,978,287.35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2.少数股东损益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5,069,365.66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1,232,275.56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六、其他综合收益的税后净额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22,356,493.75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归属母公司所有者的其他综合收益的税后净额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22,356,493.75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（一）不能重分类进损益的其他综合收益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22,356,493.75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1.重新计量设定受益计划变动额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2.权益法下不能转损益的其他综合收益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3.其他权益工具投资公允价值变动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22,356,493.75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4.企业自身信用风险公允价值变动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5.其他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（二）将重分类进损益的其他综合收益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1.权益法下可转损益的其他综合收益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2.其他债权投资公允价值变动</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3.金融资产重分类计入其他综合收益的金额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4.其他债权投资信用减值准备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5.现金流量套期储备</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6.外币财务报表折算差额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540" w:firstLineChars="3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7.其他</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归属于少数股东的其他综合收益的税后净额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七、综合收益总额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226,561,978.33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103,567,056.66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归属于母公司所有者的综合收益总额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221,492,612.67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102,334,781.10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归属于少数股东的综合收益总额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5,069,365.66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1,232,275.56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八、每股收益：</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highlight w:val="none"/>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（一）基本每股收益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0.0806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0.0298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（二）稀释每股收益</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0.0806</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0.0298</w:t>
            </w:r>
          </w:p>
        </w:tc>
      </w:tr>
    </w:tbl>
    <w:p>
      <w:pPr>
        <w:keepNext w:val="0"/>
        <w:keepLines w:val="0"/>
        <w:pageBreakBefore w:val="0"/>
        <w:widowControl w:val="0"/>
        <w:kinsoku/>
        <w:wordWrap/>
        <w:overflowPunct/>
        <w:topLinePunct w:val="0"/>
        <w:autoSpaceDE/>
        <w:autoSpaceDN/>
        <w:bidi w:val="0"/>
        <w:adjustRightInd/>
        <w:snapToGrid/>
        <w:spacing w:before="157" w:beforeLines="50" w:after="0" w:line="240" w:lineRule="exact"/>
        <w:jc w:val="left"/>
        <w:textAlignment w:val="auto"/>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本期发生同一控制下企业合并的，被合并方在合并前实现的净利润为：元，上期被合并方实现的净利润为：元。</w:t>
      </w:r>
    </w:p>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法定代表人：王</w:t>
      </w:r>
      <w:r>
        <w:rPr>
          <w:rFonts w:hint="eastAsia" w:ascii="Times New Roman" w:hAnsi="Times New Roman" w:cs="Times New Roman"/>
          <w:sz w:val="18"/>
          <w:szCs w:val="18"/>
          <w:highlight w:val="none"/>
          <w:lang w:val="en-US" w:eastAsia="zh-CN"/>
        </w:rPr>
        <w:t xml:space="preserve">  冬</w:t>
      </w:r>
      <w:r>
        <w:rPr>
          <w:rFonts w:hint="default" w:ascii="Times New Roman" w:hAnsi="Times New Roman" w:eastAsia="宋体" w:cs="Times New Roman"/>
          <w:sz w:val="18"/>
          <w:szCs w:val="18"/>
          <w:highlight w:val="none"/>
        </w:rPr>
        <w:t xml:space="preserve">    </w:t>
      </w:r>
      <w:r>
        <w:rPr>
          <w:rFonts w:hint="eastAsia" w:ascii="Times New Roman" w:hAnsi="Times New Roman" w:cs="Times New Roman"/>
          <w:sz w:val="18"/>
          <w:szCs w:val="18"/>
          <w:highlight w:val="none"/>
          <w:lang w:val="en-US" w:eastAsia="zh-CN"/>
        </w:rPr>
        <w:t xml:space="preserve">                       </w:t>
      </w:r>
      <w:r>
        <w:rPr>
          <w:rFonts w:hint="default" w:ascii="Times New Roman" w:hAnsi="Times New Roman" w:eastAsia="宋体" w:cs="Times New Roman"/>
          <w:sz w:val="18"/>
          <w:szCs w:val="18"/>
          <w:highlight w:val="none"/>
        </w:rPr>
        <w:t>主管会计工作负责人：朱</w:t>
      </w:r>
      <w:r>
        <w:rPr>
          <w:rFonts w:hint="eastAsia" w:ascii="Times New Roman" w:hAnsi="Times New Roman" w:cs="Times New Roman"/>
          <w:sz w:val="18"/>
          <w:szCs w:val="18"/>
          <w:highlight w:val="none"/>
          <w:lang w:val="en-US" w:eastAsia="zh-CN"/>
        </w:rPr>
        <w:t xml:space="preserve">  </w:t>
      </w:r>
      <w:r>
        <w:rPr>
          <w:rFonts w:hint="default" w:ascii="Times New Roman" w:hAnsi="Times New Roman" w:eastAsia="宋体" w:cs="Times New Roman"/>
          <w:sz w:val="18"/>
          <w:szCs w:val="18"/>
          <w:highlight w:val="none"/>
        </w:rPr>
        <w:t xml:space="preserve">虹    </w:t>
      </w:r>
      <w:r>
        <w:rPr>
          <w:rFonts w:hint="eastAsia" w:ascii="Times New Roman" w:hAnsi="Times New Roman" w:cs="Times New Roman"/>
          <w:sz w:val="18"/>
          <w:szCs w:val="18"/>
          <w:highlight w:val="none"/>
          <w:lang w:val="en-US" w:eastAsia="zh-CN"/>
        </w:rPr>
        <w:t xml:space="preserve">                 </w:t>
      </w:r>
      <w:r>
        <w:rPr>
          <w:rFonts w:hint="default" w:ascii="Times New Roman" w:hAnsi="Times New Roman" w:eastAsia="宋体" w:cs="Times New Roman"/>
          <w:sz w:val="18"/>
          <w:szCs w:val="18"/>
          <w:highlight w:val="none"/>
        </w:rPr>
        <w:t>会计机构负责人：张</w:t>
      </w:r>
      <w:r>
        <w:rPr>
          <w:rFonts w:hint="eastAsia" w:ascii="Times New Roman" w:hAnsi="Times New Roman" w:cs="Times New Roman"/>
          <w:sz w:val="18"/>
          <w:szCs w:val="18"/>
          <w:highlight w:val="none"/>
          <w:lang w:val="en-US" w:eastAsia="zh-CN"/>
        </w:rPr>
        <w:t xml:space="preserve">  </w:t>
      </w:r>
      <w:r>
        <w:rPr>
          <w:rFonts w:hint="default" w:ascii="Times New Roman" w:hAnsi="Times New Roman" w:eastAsia="宋体" w:cs="Times New Roman"/>
          <w:sz w:val="18"/>
          <w:szCs w:val="18"/>
          <w:highlight w:val="none"/>
        </w:rPr>
        <w:t>征</w:t>
      </w:r>
    </w:p>
    <w:p>
      <w:pPr>
        <w:keepNext/>
        <w:keepLines/>
        <w:spacing w:before="300" w:after="300" w:line="280" w:lineRule="exact"/>
        <w:jc w:val="left"/>
        <w:outlineLvl w:val="2"/>
        <w:rPr>
          <w:rFonts w:hint="default" w:ascii="Times New Roman" w:hAnsi="Times New Roman" w:eastAsia="宋体" w:cs="Times New Roman"/>
          <w:b/>
          <w:bCs/>
          <w:sz w:val="21"/>
          <w:szCs w:val="21"/>
          <w:highlight w:val="none"/>
        </w:rPr>
      </w:pPr>
      <w:bookmarkStart w:id="12" w:name="_Toc988901"/>
      <w:r>
        <w:rPr>
          <w:rFonts w:hint="default" w:ascii="Times New Roman" w:hAnsi="Times New Roman" w:eastAsia="宋体" w:cs="Times New Roman"/>
          <w:b/>
          <w:bCs/>
          <w:sz w:val="21"/>
          <w:szCs w:val="21"/>
          <w:highlight w:val="none"/>
        </w:rPr>
        <w:t>3、合并现金流量表</w:t>
      </w:r>
      <w:bookmarkEnd w:id="12"/>
    </w:p>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单位：元</w:t>
      </w:r>
    </w:p>
    <w:tbl>
      <w:tblPr>
        <w:tblStyle w:val="3"/>
        <w:tblW w:w="9639" w:type="dxa"/>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3213"/>
        <w:gridCol w:w="3213"/>
        <w:gridCol w:w="321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项目</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本期发生额</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center"/>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上期发生额</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一、经营活动产生的现金流量：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highlight w:val="none"/>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销售商品、提供劳务收到的现金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4,862,187,516.25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4,013,967,528.07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客户存款和同业存放款项净增加额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向中央银行借款净增加额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向其他金融机构拆入资金净增加额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收到原保险合同保费取得的现金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收到再保业务现金净额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保户储金及投资款净增加额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收取利息、手续费及佣金的现金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拆入资金净增加额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回购业务资金净增加额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代理买卖证券收到的现金净额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收到的税费返还</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74,555,204.21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收到其他与经营活动有关的现金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63,847,812.13</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105,414,076.93</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经营活动现金流入小计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5,000,590,532.59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4,119,381,605.00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购买商品、接受劳务支付的现金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3,788,627,632.98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3,061,607,166.85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客户贷款及垫款净增加额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存放中央银行和同业款项净增加额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支付原保险合同赔付款项的现金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拆出资金净增加额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支付利息、手续费及佣金的现金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支付保单红利的现金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支付给职工以及为职工支付的现金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325,655,076.57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331,763,779.98</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支付的各项税费</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252,508,584.09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177,469,508.69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支付其他与经营活动有关的现金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194,719,759.81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172,975,502.69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经营活动现金流出小计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4,561,511,053.45</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3,743,815,958.21</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经营活动产生的现金流量净额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439,079,479.14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375,565,646.79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二、投资活动产生的现金流量：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highlight w:val="none"/>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收回投资收到的现金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取得投资收益收到的现金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95,100,000.00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处置固定资产、无形资产和其他长期资产收回的现金净额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2,923,747.20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145,313.00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处置子公司及其他营业单位收到的现金净额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收到其他与投资活动有关的现金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383,080.99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624,034,777.49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投资活动现金流入小计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3,306,828.19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719,280,090.49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购建固定资产、无形资产和其他长期资产所支付的现金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1,247,206,338.57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735,884,426.59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投资支付的现金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质押贷款净增加额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取得子公司及其他营业单位支付的现金净额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支付其他与投资活动有关的现金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1,152,971.00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211,465.70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投资活动现金流出小计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1,248,359,309.57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736,095,892.29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投资活动产生的现金流量净额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-1,245,052,481.38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-16,815,801.80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三、筹资活动产生的现金流量：</w:t>
            </w: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highlight w:val="none"/>
              </w:rPr>
            </w:pPr>
          </w:p>
        </w:tc>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rPr>
                <w:rFonts w:hint="default" w:ascii="Times New Roman" w:hAnsi="Times New Roman" w:cs="Times New Roman"/>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吸收投资收到的现金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其中：子公司吸收少数股东投资收到的现金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0.00</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取得借款收到的现金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4,587,004,875.98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1,864,098,666.39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收到其他与筹资活动有关的现金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筹资活动现金流入小计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4,587,004,875.98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1,864,098,666.39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40" w:after="4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偿还债务支付的现金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3,673,779,582.98</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3,079,010,266.39</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分配股利、利润或偿付利息支付的现金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137,179,134.44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100,414,653.26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360" w:firstLineChars="2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其中：子公司支付给少数股东的股利、利润</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支付其他与筹资活动有关的现金</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6,139,739.69</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筹资活动现金流出小计</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3,817,098,457.11</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3,179,424,919.65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筹资活动产生的现金流量净额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769,906,418.87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-1,315,326,253.26</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四、汇率变动对现金及现金等价物的影响</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五、现金及现金等价物净增加额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-36,066,583.37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-956,576,408.27</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ind w:firstLine="180" w:firstLineChars="100"/>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加：期初现金及现金等价物余额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285,141,164.14</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1,081,684,974.35</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240" w:hRule="atLeast"/>
          <w:jc w:val="center"/>
        </w:trPr>
        <w:tc>
          <w:tcPr>
            <w:tcW w:w="3213" w:type="dxa"/>
            <w:tcBorders>
              <w:top w:val="single" w:color="auto" w:sz="2" w:space="0"/>
              <w:left w:val="single" w:color="auto" w:sz="2" w:space="0"/>
              <w:bottom w:val="single" w:color="auto" w:sz="2" w:space="0"/>
              <w:right w:val="single" w:color="auto" w:sz="2" w:space="0"/>
            </w:tcBorders>
            <w:shd w:val="clear" w:color="auto" w:fill="D3D3D3"/>
            <w:vAlign w:val="center"/>
          </w:tcPr>
          <w:p>
            <w:pPr>
              <w:spacing w:before="0" w:after="0" w:line="240" w:lineRule="exact"/>
              <w:jc w:val="lef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六、期末现金及现金等价物余额</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249,074,580.77</w:t>
            </w:r>
          </w:p>
        </w:tc>
        <w:tc>
          <w:tcPr>
            <w:tcW w:w="3213" w:type="dxa"/>
            <w:tcBorders>
              <w:top w:val="single" w:color="auto" w:sz="2" w:space="0"/>
              <w:left w:val="single" w:color="auto" w:sz="2" w:space="0"/>
              <w:bottom w:val="single" w:color="auto" w:sz="2" w:space="0"/>
              <w:right w:val="single" w:color="auto" w:sz="2" w:space="0"/>
            </w:tcBorders>
            <w:vAlign w:val="center"/>
          </w:tcPr>
          <w:p>
            <w:pPr>
              <w:spacing w:before="0" w:after="0" w:line="240" w:lineRule="exact"/>
              <w:jc w:val="right"/>
              <w:rPr>
                <w:rFonts w:hint="default" w:ascii="Times New Roman" w:hAnsi="Times New Roman" w:eastAsia="宋体" w:cs="Times New Roman"/>
                <w:sz w:val="18"/>
                <w:szCs w:val="18"/>
                <w:highlight w:val="none"/>
              </w:rPr>
            </w:pPr>
            <w:r>
              <w:rPr>
                <w:rFonts w:hint="default" w:ascii="Times New Roman" w:hAnsi="Times New Roman" w:eastAsia="宋体" w:cs="Times New Roman"/>
                <w:sz w:val="18"/>
                <w:szCs w:val="18"/>
                <w:highlight w:val="none"/>
              </w:rPr>
              <w:t>125,108,566.08</w:t>
            </w:r>
          </w:p>
        </w:tc>
      </w:tr>
    </w:tbl>
    <w:p>
      <w:pPr>
        <w:keepNext/>
        <w:keepLines/>
        <w:spacing w:before="300" w:after="300" w:line="280" w:lineRule="exact"/>
        <w:jc w:val="left"/>
        <w:outlineLvl w:val="1"/>
        <w:rPr>
          <w:rFonts w:hint="default" w:ascii="Times New Roman" w:hAnsi="Times New Roman" w:eastAsia="宋体" w:cs="Times New Roman"/>
          <w:b/>
          <w:bCs/>
          <w:sz w:val="25"/>
          <w:szCs w:val="25"/>
          <w:highlight w:val="none"/>
        </w:rPr>
      </w:pPr>
      <w:bookmarkStart w:id="13" w:name="_Toc988902"/>
      <w:r>
        <w:rPr>
          <w:rFonts w:hint="default" w:ascii="Times New Roman" w:hAnsi="Times New Roman" w:eastAsia="宋体" w:cs="Times New Roman"/>
          <w:b/>
          <w:bCs/>
          <w:sz w:val="25"/>
          <w:szCs w:val="25"/>
          <w:highlight w:val="none"/>
        </w:rPr>
        <w:t>（二） 审计报告</w:t>
      </w:r>
      <w:bookmarkEnd w:id="13"/>
    </w:p>
    <w:p>
      <w:pPr>
        <w:spacing w:before="40" w:after="40" w:line="240" w:lineRule="exact"/>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第一季度报告是否经过审计</w:t>
      </w:r>
    </w:p>
    <w:p>
      <w:pPr>
        <w:spacing w:before="40" w:after="40" w:line="240" w:lineRule="exact"/>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 xml:space="preserve">□是 </w:t>
      </w:r>
      <w:r>
        <w:rPr>
          <w:rFonts w:hint="eastAsia" w:asciiTheme="minorEastAsia" w:hAnsiTheme="minorEastAsia" w:eastAsiaTheme="minorEastAsia" w:cstheme="minorEastAsia"/>
          <w:sz w:val="21"/>
          <w:szCs w:val="21"/>
          <w:highlight w:val="none"/>
        </w:rPr>
        <w:sym w:font="Wingdings 2" w:char="F052"/>
      </w:r>
      <w:r>
        <w:rPr>
          <w:rFonts w:hint="eastAsia" w:asciiTheme="minorEastAsia" w:hAnsiTheme="minorEastAsia" w:eastAsiaTheme="minorEastAsia" w:cstheme="minorEastAsia"/>
          <w:sz w:val="21"/>
          <w:szCs w:val="21"/>
          <w:highlight w:val="none"/>
        </w:rPr>
        <w:t>否</w:t>
      </w:r>
    </w:p>
    <w:p>
      <w:pPr>
        <w:spacing w:before="40" w:after="40" w:line="240" w:lineRule="exact"/>
        <w:jc w:val="left"/>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公司第一季度报告未经审计。</w:t>
      </w:r>
    </w:p>
    <w:p>
      <w:pPr>
        <w:spacing w:before="40" w:after="40" w:line="240" w:lineRule="exact"/>
        <w:jc w:val="left"/>
        <w:rPr>
          <w:rFonts w:hint="default" w:ascii="Times New Roman" w:hAnsi="Times New Roman" w:eastAsia="宋体" w:cs="Times New Roman"/>
          <w:sz w:val="18"/>
          <w:szCs w:val="18"/>
          <w:highlight w:val="none"/>
        </w:rPr>
      </w:pPr>
    </w:p>
    <w:p>
      <w:pPr>
        <w:keepNext w:val="0"/>
        <w:keepLines w:val="0"/>
        <w:pageBreakBefore w:val="0"/>
        <w:widowControl w:val="0"/>
        <w:kinsoku/>
        <w:wordWrap/>
        <w:overflowPunct/>
        <w:topLinePunct w:val="0"/>
        <w:autoSpaceDE/>
        <w:autoSpaceDN/>
        <w:bidi w:val="0"/>
        <w:adjustRightInd/>
        <w:snapToGrid w:val="0"/>
        <w:spacing w:beforeLines="0" w:afterLines="0" w:line="360" w:lineRule="exact"/>
        <w:jc w:val="right"/>
        <w:textAlignment w:val="auto"/>
        <w:rPr>
          <w:rFonts w:hint="eastAsia"/>
          <w:color w:val="000000"/>
          <w:sz w:val="24"/>
          <w:highlight w:val="none"/>
        </w:rPr>
      </w:pPr>
      <w:r>
        <w:rPr>
          <w:rFonts w:hint="eastAsia"/>
          <w:color w:val="000000"/>
          <w:sz w:val="24"/>
          <w:highlight w:val="none"/>
        </w:rPr>
        <w:t>国家能源集团长源电力股份有限公司董事会</w:t>
      </w:r>
    </w:p>
    <w:p>
      <w:pPr>
        <w:keepNext w:val="0"/>
        <w:keepLines w:val="0"/>
        <w:pageBreakBefore w:val="0"/>
        <w:widowControl w:val="0"/>
        <w:kinsoku/>
        <w:wordWrap/>
        <w:overflowPunct/>
        <w:topLinePunct w:val="0"/>
        <w:autoSpaceDE/>
        <w:autoSpaceDN/>
        <w:bidi w:val="0"/>
        <w:adjustRightInd/>
        <w:snapToGrid w:val="0"/>
        <w:spacing w:before="0" w:after="0" w:line="360" w:lineRule="exact"/>
        <w:jc w:val="center"/>
        <w:textAlignment w:val="auto"/>
        <w:rPr>
          <w:rFonts w:hint="default" w:ascii="Times New Roman" w:hAnsi="Times New Roman" w:eastAsia="宋体" w:cs="Times New Roman"/>
          <w:sz w:val="18"/>
          <w:szCs w:val="18"/>
          <w:highlight w:val="none"/>
        </w:rPr>
      </w:pPr>
      <w:r>
        <w:rPr>
          <w:rFonts w:hint="eastAsia"/>
          <w:color w:val="000000"/>
          <w:sz w:val="24"/>
          <w:highlight w:val="none"/>
          <w:lang w:val="en-US" w:eastAsia="zh-CN"/>
        </w:rPr>
        <w:t xml:space="preserve">          </w:t>
      </w:r>
      <w:r>
        <w:rPr>
          <w:rFonts w:hint="eastAsia"/>
          <w:color w:val="000000"/>
          <w:sz w:val="24"/>
          <w:highlight w:val="none"/>
        </w:rPr>
        <w:t xml:space="preserve">                     </w:t>
      </w:r>
      <w:r>
        <w:rPr>
          <w:rFonts w:hint="eastAsia"/>
          <w:color w:val="000000"/>
          <w:sz w:val="24"/>
          <w:highlight w:val="none"/>
          <w:lang w:val="en-US" w:eastAsia="zh-CN"/>
        </w:rPr>
        <w:t xml:space="preserve">                                                   </w:t>
      </w:r>
      <w:r>
        <w:rPr>
          <w:rFonts w:hint="eastAsia" w:eastAsia="Times New Roman"/>
          <w:color w:val="000000"/>
          <w:sz w:val="24"/>
          <w:highlight w:val="none"/>
        </w:rPr>
        <w:t>202</w:t>
      </w:r>
      <w:r>
        <w:rPr>
          <w:rFonts w:hint="eastAsia" w:eastAsia="宋体"/>
          <w:color w:val="000000"/>
          <w:sz w:val="24"/>
          <w:highlight w:val="none"/>
          <w:lang w:val="en-US" w:eastAsia="zh-CN"/>
        </w:rPr>
        <w:t>3</w:t>
      </w:r>
      <w:r>
        <w:rPr>
          <w:rFonts w:hint="eastAsia"/>
          <w:color w:val="000000"/>
          <w:sz w:val="24"/>
          <w:highlight w:val="none"/>
        </w:rPr>
        <w:t>年4月2</w:t>
      </w:r>
      <w:r>
        <w:rPr>
          <w:rFonts w:hint="eastAsia"/>
          <w:color w:val="000000"/>
          <w:sz w:val="24"/>
          <w:highlight w:val="none"/>
          <w:lang w:val="en-US" w:eastAsia="zh-CN"/>
        </w:rPr>
        <w:t>6</w:t>
      </w:r>
      <w:r>
        <w:rPr>
          <w:rFonts w:hint="eastAsia"/>
          <w:color w:val="000000"/>
          <w:sz w:val="24"/>
          <w:highlight w:val="none"/>
        </w:rPr>
        <w:t>日</w:t>
      </w:r>
    </w:p>
    <w:sectPr>
      <w:headerReference r:id="rId3" w:type="default"/>
      <w:footerReference r:id="rId4" w:type="default"/>
      <w:pgSz w:w="11905" w:h="16840"/>
      <w:pgMar w:top="1440" w:right="1134" w:bottom="1440" w:left="1134" w:header="850"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宋体" w:eastAsia="宋体"/>
        <w:sz w:val="18"/>
        <w:szCs w:val="18"/>
      </w:rPr>
      <w:fldChar w:fldCharType="begin"/>
    </w:r>
    <w:r>
      <w:rPr>
        <w:rFonts w:ascii="宋体" w:eastAsia="宋体"/>
        <w:sz w:val="18"/>
        <w:szCs w:val="18"/>
      </w:rPr>
      <w:instrText xml:space="preserve">PAGE   \* MERGEFORMAT</w:instrText>
    </w:r>
    <w:r>
      <w:rPr>
        <w:rFonts w:ascii="宋体" w:eastAsia="宋体"/>
        <w:sz w:val="18"/>
        <w:szCs w:val="18"/>
      </w:rPr>
      <w:fldChar w:fldCharType="separate"/>
    </w:r>
    <w:r>
      <w:rPr>
        <w:rFonts w:ascii="宋体" w:eastAsia="宋体"/>
        <w:sz w:val="18"/>
        <w:szCs w:val="18"/>
      </w:rPr>
      <w:t>1</w:t>
    </w:r>
    <w:r>
      <w:rPr>
        <w:rFonts w:ascii="宋体" w:eastAsia="宋体"/>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right"/>
    </w:pPr>
    <w:r>
      <w:rPr>
        <w:rFonts w:ascii="宋体" w:eastAsia="宋体"/>
        <w:sz w:val="18"/>
        <w:szCs w:val="18"/>
      </w:rPr>
      <w:t>国家能源集团长源电力股份有限公司2023年第一季度报告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E237EB"/>
    <w:multiLevelType w:val="singleLevel"/>
    <w:tmpl w:val="ABE237EB"/>
    <w:lvl w:ilvl="0" w:tentative="0">
      <w:start w:val="1"/>
      <w:numFmt w:val="decimal"/>
      <w:suff w:val="space"/>
      <w:lvlText w:val="%1."/>
      <w:lvlJc w:val="left"/>
    </w:lvl>
  </w:abstractNum>
  <w:abstractNum w:abstractNumId="1">
    <w:nsid w:val="E62E1CD2"/>
    <w:multiLevelType w:val="singleLevel"/>
    <w:tmpl w:val="E62E1CD2"/>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compat>
    <w:doNotExpandShiftReturn/>
    <w:useFELayout/>
    <w:compatSetting w:name="compatibilityMode" w:uri="http://schemas.microsoft.com/office/word" w:val="14"/>
  </w:compat>
  <w:rsids>
    <w:rsidRoot w:val="00000000"/>
    <w:rsid w:val="00AE07BC"/>
    <w:rsid w:val="01E47DE4"/>
    <w:rsid w:val="046E59FF"/>
    <w:rsid w:val="05A05E9C"/>
    <w:rsid w:val="08107F78"/>
    <w:rsid w:val="0A824CB2"/>
    <w:rsid w:val="0F0177AA"/>
    <w:rsid w:val="111427D2"/>
    <w:rsid w:val="16D354FB"/>
    <w:rsid w:val="1AB8068B"/>
    <w:rsid w:val="1BEA385C"/>
    <w:rsid w:val="20922008"/>
    <w:rsid w:val="24E34499"/>
    <w:rsid w:val="259A416B"/>
    <w:rsid w:val="25DF3F8E"/>
    <w:rsid w:val="288117A6"/>
    <w:rsid w:val="2984298E"/>
    <w:rsid w:val="2ADA0BB3"/>
    <w:rsid w:val="2B004747"/>
    <w:rsid w:val="2E206CE3"/>
    <w:rsid w:val="2ED222D2"/>
    <w:rsid w:val="38566850"/>
    <w:rsid w:val="3A243C6C"/>
    <w:rsid w:val="3C5F2F8C"/>
    <w:rsid w:val="45D34C6A"/>
    <w:rsid w:val="46676DEB"/>
    <w:rsid w:val="49AA0280"/>
    <w:rsid w:val="4BE95E0F"/>
    <w:rsid w:val="4C99467F"/>
    <w:rsid w:val="4E520803"/>
    <w:rsid w:val="576F42FD"/>
    <w:rsid w:val="5AA20AEE"/>
    <w:rsid w:val="5B20045B"/>
    <w:rsid w:val="5D7A2891"/>
    <w:rsid w:val="61FC4C07"/>
    <w:rsid w:val="632A382F"/>
    <w:rsid w:val="648F6237"/>
    <w:rsid w:val="6ADC67ED"/>
    <w:rsid w:val="6BA8378D"/>
    <w:rsid w:val="74B75FCC"/>
    <w:rsid w:val="75506358"/>
    <w:rsid w:val="7B2F52D5"/>
    <w:rsid w:val="7C13469A"/>
    <w:rsid w:val="7D3656C7"/>
    <w:rsid w:val="7F5226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Office_11.8.2.11716_F1E327BC-269C-435d-A152-05C5408002CA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2023-04-16T03:22:00Z</dcterms:created>
  <dc:creator>Administrator</dc:creator>
  <cp:lastModifiedBy>刘硕02</cp:lastModifiedBy>
  <dcterms:modified xsi:type="dcterms:W3CDTF">2023-04-25T02:26:17Z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F0ADD01211624BDC901F5A0FB2DEDFB3</vt:lpwstr>
  </property>
</Properties>
</file>